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B6A8" w14:textId="440F6390" w:rsidR="00561F40" w:rsidRPr="0020608D" w:rsidRDefault="00244032" w:rsidP="00244032">
      <w:pPr>
        <w:spacing w:line="276" w:lineRule="auto"/>
        <w:rPr>
          <w:sz w:val="32"/>
          <w:szCs w:val="28"/>
        </w:rPr>
      </w:pPr>
      <w:r>
        <w:rPr>
          <w:noProof/>
          <w:sz w:val="28"/>
          <w:szCs w:val="28"/>
          <w:lang w:val="fr-FR"/>
        </w:rPr>
        <w:drawing>
          <wp:inline distT="0" distB="0" distL="0" distR="0" wp14:anchorId="0E416D6A" wp14:editId="7F0F3F8B">
            <wp:extent cx="1143000" cy="569309"/>
            <wp:effectExtent l="0" t="0" r="0" b="2540"/>
            <wp:docPr id="563315701" name="Picture 563315701" descr="Logo de l’Union Mondiale des Aveug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0754" cy="613018"/>
                    </a:xfrm>
                    <a:prstGeom prst="rect">
                      <a:avLst/>
                    </a:prstGeom>
                  </pic:spPr>
                </pic:pic>
              </a:graphicData>
            </a:graphic>
          </wp:inline>
        </w:drawing>
      </w:r>
      <w:r>
        <w:rPr>
          <w:sz w:val="32"/>
          <w:szCs w:val="28"/>
          <w:lang w:val="fr-FR"/>
        </w:rPr>
        <w:tab/>
      </w:r>
      <w:r>
        <w:rPr>
          <w:sz w:val="32"/>
          <w:szCs w:val="28"/>
          <w:lang w:val="fr-FR"/>
        </w:rPr>
        <w:tab/>
      </w:r>
      <w:r>
        <w:rPr>
          <w:sz w:val="32"/>
          <w:szCs w:val="28"/>
          <w:lang w:val="fr-FR"/>
        </w:rPr>
        <w:tab/>
      </w:r>
      <w:r>
        <w:rPr>
          <w:sz w:val="32"/>
          <w:szCs w:val="28"/>
          <w:lang w:val="fr-FR"/>
        </w:rPr>
        <w:tab/>
      </w:r>
      <w:r>
        <w:rPr>
          <w:sz w:val="32"/>
          <w:szCs w:val="28"/>
          <w:lang w:val="fr-FR"/>
        </w:rPr>
        <w:tab/>
      </w:r>
      <w:r>
        <w:rPr>
          <w:sz w:val="32"/>
          <w:szCs w:val="28"/>
          <w:lang w:val="fr-FR"/>
        </w:rPr>
        <w:tab/>
      </w:r>
      <w:r>
        <w:rPr>
          <w:sz w:val="32"/>
          <w:szCs w:val="28"/>
          <w:lang w:val="fr-FR"/>
        </w:rPr>
        <w:tab/>
      </w:r>
      <w:r>
        <w:rPr>
          <w:sz w:val="32"/>
          <w:szCs w:val="28"/>
          <w:lang w:val="fr-FR"/>
        </w:rPr>
        <w:tab/>
      </w:r>
      <w:r>
        <w:rPr>
          <w:noProof/>
          <w:sz w:val="28"/>
          <w:szCs w:val="28"/>
          <w:lang w:val="fr-FR"/>
        </w:rPr>
        <w:drawing>
          <wp:inline distT="0" distB="0" distL="0" distR="0" wp14:anchorId="17820384" wp14:editId="515F795D">
            <wp:extent cx="1388271" cy="558800"/>
            <wp:effectExtent l="0" t="0" r="2540" b="0"/>
            <wp:docPr id="1" name="Picture 1" descr="Logo d'IC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ICEVI"/>
                    <pic:cNvPicPr/>
                  </pic:nvPicPr>
                  <pic:blipFill>
                    <a:blip r:embed="rId9">
                      <a:extLst>
                        <a:ext uri="{28A0092B-C50C-407E-A947-70E740481C1C}">
                          <a14:useLocalDpi xmlns:a14="http://schemas.microsoft.com/office/drawing/2010/main" val="0"/>
                        </a:ext>
                      </a:extLst>
                    </a:blip>
                    <a:stretch>
                      <a:fillRect/>
                    </a:stretch>
                  </pic:blipFill>
                  <pic:spPr>
                    <a:xfrm>
                      <a:off x="0" y="0"/>
                      <a:ext cx="1391934" cy="560275"/>
                    </a:xfrm>
                    <a:prstGeom prst="rect">
                      <a:avLst/>
                    </a:prstGeom>
                  </pic:spPr>
                </pic:pic>
              </a:graphicData>
            </a:graphic>
          </wp:inline>
        </w:drawing>
      </w:r>
      <w:r>
        <w:rPr>
          <w:lang w:val="fr-FR"/>
        </w:rPr>
        <w:tab/>
      </w:r>
    </w:p>
    <w:p w14:paraId="7BD94350" w14:textId="7CB6924B" w:rsidR="00617BB2" w:rsidRPr="00485A72" w:rsidRDefault="00617BB2" w:rsidP="003E36B5">
      <w:pPr>
        <w:pStyle w:val="Title"/>
        <w:spacing w:line="276" w:lineRule="auto"/>
        <w:jc w:val="center"/>
        <w:rPr>
          <w:rFonts w:asciiTheme="minorHAnsi" w:hAnsiTheme="minorHAnsi" w:cstheme="minorHAnsi"/>
          <w:b/>
          <w:bCs/>
          <w:color w:val="1F3864" w:themeColor="accent1" w:themeShade="80"/>
          <w:sz w:val="34"/>
          <w:szCs w:val="34"/>
          <w:lang w:val="fr-CA"/>
        </w:rPr>
      </w:pPr>
      <w:r>
        <w:rPr>
          <w:rFonts w:asciiTheme="minorHAnsi" w:hAnsiTheme="minorHAnsi" w:cstheme="minorHAnsi"/>
          <w:b/>
          <w:bCs/>
          <w:color w:val="1F3864" w:themeColor="accent1" w:themeShade="80"/>
          <w:sz w:val="34"/>
          <w:szCs w:val="34"/>
          <w:lang w:val="fr-FR"/>
        </w:rPr>
        <w:t>L’éducation en crise : Un appel urgent pour garantir des prestations et un accès équitables aux personnes aveugles ou malvoyantes</w:t>
      </w:r>
    </w:p>
    <w:p w14:paraId="4B15D73E" w14:textId="77777777" w:rsidR="00617BB2" w:rsidRPr="00485A72" w:rsidRDefault="00617BB2" w:rsidP="003E36B5">
      <w:pPr>
        <w:pStyle w:val="Title"/>
        <w:spacing w:line="276" w:lineRule="auto"/>
        <w:rPr>
          <w:rFonts w:ascii="Verdana" w:hAnsi="Verdana"/>
          <w:b/>
          <w:bCs/>
          <w:sz w:val="40"/>
          <w:szCs w:val="40"/>
          <w:lang w:val="fr-CA"/>
        </w:rPr>
      </w:pPr>
    </w:p>
    <w:p w14:paraId="699FFA3B" w14:textId="7F480C7B" w:rsidR="00792952" w:rsidRPr="00485A72" w:rsidRDefault="00792952" w:rsidP="00792952">
      <w:pPr>
        <w:pStyle w:val="IntenseQuote"/>
        <w:rPr>
          <w:b/>
          <w:bCs/>
          <w:color w:val="1F3864" w:themeColor="accent1" w:themeShade="80"/>
          <w:sz w:val="28"/>
          <w:szCs w:val="28"/>
          <w:lang w:val="fr-CA"/>
        </w:rPr>
      </w:pPr>
      <w:r>
        <w:rPr>
          <w:b/>
          <w:bCs/>
          <w:color w:val="1F3864" w:themeColor="accent1" w:themeShade="80"/>
          <w:sz w:val="28"/>
          <w:szCs w:val="28"/>
          <w:lang w:val="fr-FR"/>
        </w:rPr>
        <w:t xml:space="preserve">L’obligation de respecter les droits humains, notamment le droit à l’éducation, sur un pied d’égalité, ne cesse pas automatiquement lors des situations d’urgence et pendant la période subséquente. Les gouvernements doivent donc veiller à ce que l’éducation soit disponible et accessible aux personnes aveugles ou malvoyantes lors des situations d’urgence et pendant la période subséquente. </w:t>
      </w:r>
    </w:p>
    <w:p w14:paraId="1A0B0087" w14:textId="6EFC8C51" w:rsidR="007663A7" w:rsidRPr="00485A72" w:rsidRDefault="00617BB2" w:rsidP="003E36B5">
      <w:pPr>
        <w:pStyle w:val="Title"/>
        <w:spacing w:line="276" w:lineRule="auto"/>
        <w:rPr>
          <w:rFonts w:ascii="Verdana" w:hAnsi="Verdana"/>
          <w:b/>
          <w:bCs/>
          <w:color w:val="1F3864" w:themeColor="accent1" w:themeShade="80"/>
          <w:sz w:val="30"/>
          <w:szCs w:val="30"/>
          <w:lang w:val="fr-CA"/>
        </w:rPr>
      </w:pPr>
      <w:r>
        <w:rPr>
          <w:rFonts w:asciiTheme="minorHAnsi" w:hAnsiTheme="minorHAnsi" w:cstheme="minorHAnsi"/>
          <w:b/>
          <w:bCs/>
          <w:color w:val="1F3864" w:themeColor="accent1" w:themeShade="80"/>
          <w:sz w:val="30"/>
          <w:szCs w:val="30"/>
          <w:lang w:val="fr-FR"/>
        </w:rPr>
        <w:t>Le problème</w:t>
      </w:r>
    </w:p>
    <w:p w14:paraId="5C84B03A" w14:textId="055E95D4" w:rsidR="00244032" w:rsidRPr="00485A72" w:rsidRDefault="00D04286" w:rsidP="00F3053D">
      <w:pPr>
        <w:spacing w:after="0" w:line="276" w:lineRule="auto"/>
        <w:jc w:val="both"/>
        <w:rPr>
          <w:rFonts w:ascii="Calibri" w:hAnsi="Calibri" w:cs="Calibri"/>
          <w:sz w:val="26"/>
          <w:szCs w:val="26"/>
          <w:lang w:val="fr-CA"/>
        </w:rPr>
      </w:pPr>
      <w:r>
        <w:rPr>
          <w:rFonts w:ascii="Calibri" w:hAnsi="Calibri" w:cs="Calibri"/>
          <w:sz w:val="26"/>
          <w:szCs w:val="26"/>
          <w:lang w:val="fr-FR"/>
        </w:rPr>
        <w:t>Lors de situations d’urgence telles que les tremblements de terre, les cyclones, les ouragans, les inondations, les épidémies, les conflits et les guerres, le droit à l’éducation est gravement compromis. Ces crises provoquent d’importants dégâts aux infrastructures, notamment aux bâtiments résidentiels et scolaires, entraînant ainsi la fermeture des écoles. Par conséquent, lors des situations d’urgence, les personnes aveugles ou malvoyantes se retrouvent souvent reléguées à la périphérie de la société, avec un accès limité aux ressources éducatives et aux réseaux de soutien. Malgré les tentatives visant à utiliser l'enseignement à distance d'urgence (Emergency Remote Teaching, ERE) pour garantir un apprentissage ininterrompu pendant les crises, l'accessibilité limitée aux plateformes numériques, aux technologies d'assistance et aux méthodes d'apprentissage alternatives continue d'empêcher les personnes aveugles ou malvoyantes de jouir pleinement de leur droit à l'éducation lors des situations d’urgence.</w:t>
      </w:r>
      <w:r>
        <w:rPr>
          <w:rStyle w:val="FootnoteReference"/>
          <w:rFonts w:ascii="Calibri" w:hAnsi="Calibri" w:cs="Calibri"/>
          <w:sz w:val="26"/>
          <w:szCs w:val="26"/>
          <w:lang w:val="fr-FR"/>
        </w:rPr>
        <w:footnoteReference w:id="1"/>
      </w:r>
    </w:p>
    <w:p w14:paraId="100FDDA3" w14:textId="77777777" w:rsidR="00244032" w:rsidRPr="00485A72" w:rsidRDefault="00244032" w:rsidP="00F3053D">
      <w:pPr>
        <w:spacing w:after="0" w:line="276" w:lineRule="auto"/>
        <w:jc w:val="both"/>
        <w:rPr>
          <w:rFonts w:ascii="Calibri" w:hAnsi="Calibri" w:cs="Calibri"/>
          <w:sz w:val="26"/>
          <w:szCs w:val="26"/>
          <w:lang w:val="fr-CA"/>
        </w:rPr>
      </w:pPr>
    </w:p>
    <w:p w14:paraId="5341BB43" w14:textId="1532E009" w:rsidR="0020608D" w:rsidRPr="00485A72" w:rsidRDefault="00BD1D32" w:rsidP="00F3053D">
      <w:pPr>
        <w:spacing w:after="0" w:line="276" w:lineRule="auto"/>
        <w:jc w:val="both"/>
        <w:rPr>
          <w:rFonts w:ascii="Calibri" w:hAnsi="Calibri" w:cs="Calibri"/>
          <w:sz w:val="26"/>
          <w:szCs w:val="26"/>
          <w:lang w:val="fr-CA"/>
        </w:rPr>
      </w:pPr>
      <w:r>
        <w:rPr>
          <w:rFonts w:ascii="Calibri" w:hAnsi="Calibri" w:cs="Calibri"/>
          <w:sz w:val="26"/>
          <w:szCs w:val="26"/>
          <w:lang w:val="fr-FR"/>
        </w:rPr>
        <w:lastRenderedPageBreak/>
        <w:t>En outre, les destructions généralisées provoquées par les situations d’urgence entraînent la perturbation, voire l’arrêt complet, de services essentiels tels que les soins de santé, les transports, la protection sociale, l’eau et l’assainissement. Malheureusement, l’impact de ces situations d’urgence n’est pas uniformément réparti, ce qui exacerbe les inégalités existantes vécues par les personnes en situation de handicap, en particulier celles qui sont aveugles ou malvoyantes. Les conséquences de ces inégalités sont considérables et entravent le développement personnel et socio-économique des personnes aveugles ou malvoyantes, qui sont souvent singulièrement désavantagées face aux situations d'urgence. Pour illustrer cela, l’accès restreint aux opportunités éducatives pour les personnes aveugles ou malvoyantes, lors des situations d’urgence, limiterait considérablement leurs possibilités d’obtenir un certain revenu lorsqu’elles sont déplacées ou s’installent et maintiennent leurs moyens de subsistance dans un nouveau contexte. De plus, les personnes aveugles ou malvoyantes sont souvent exclues du travail manuel et dépendent donc fortement de l'éducation reçue pour participer à des activités économiques rémunératrices telles que l'emploi.</w:t>
      </w:r>
    </w:p>
    <w:p w14:paraId="41A28BFF" w14:textId="77777777" w:rsidR="0020608D" w:rsidRPr="00485A72" w:rsidRDefault="0020608D" w:rsidP="003E36B5">
      <w:pPr>
        <w:pStyle w:val="Title"/>
        <w:spacing w:after="240" w:line="276" w:lineRule="auto"/>
        <w:rPr>
          <w:rFonts w:asciiTheme="minorHAnsi" w:hAnsiTheme="minorHAnsi" w:cstheme="minorHAnsi"/>
          <w:b/>
          <w:bCs/>
          <w:color w:val="1F3864" w:themeColor="accent1" w:themeShade="80"/>
          <w:sz w:val="32"/>
          <w:szCs w:val="32"/>
          <w:lang w:val="fr-CA"/>
        </w:rPr>
      </w:pPr>
    </w:p>
    <w:p w14:paraId="41D80EF6" w14:textId="1BB9CAB7" w:rsidR="00DD3D0E" w:rsidRPr="00485A72" w:rsidRDefault="00DD3D0E" w:rsidP="003E36B5">
      <w:pPr>
        <w:pStyle w:val="Title"/>
        <w:spacing w:after="240" w:line="276" w:lineRule="auto"/>
        <w:rPr>
          <w:rFonts w:ascii="Verdana" w:hAnsi="Verdana"/>
          <w:b/>
          <w:bCs/>
          <w:color w:val="1F3864" w:themeColor="accent1" w:themeShade="80"/>
          <w:sz w:val="30"/>
          <w:szCs w:val="30"/>
          <w:lang w:val="fr-CA"/>
        </w:rPr>
      </w:pPr>
      <w:r>
        <w:rPr>
          <w:rFonts w:asciiTheme="minorHAnsi" w:hAnsiTheme="minorHAnsi" w:cstheme="minorHAnsi"/>
          <w:b/>
          <w:bCs/>
          <w:color w:val="1F3864" w:themeColor="accent1" w:themeShade="80"/>
          <w:sz w:val="30"/>
          <w:szCs w:val="30"/>
          <w:lang w:val="fr-FR"/>
        </w:rPr>
        <w:t>Notre position et notre appel à l'action</w:t>
      </w:r>
    </w:p>
    <w:p w14:paraId="58790D10" w14:textId="36F6FA87" w:rsidR="00A8212B" w:rsidRPr="00485A72" w:rsidRDefault="00C654F8" w:rsidP="003E36B5">
      <w:pPr>
        <w:spacing w:line="276" w:lineRule="auto"/>
        <w:jc w:val="both"/>
        <w:rPr>
          <w:rFonts w:ascii="Calibri" w:hAnsi="Calibri" w:cs="Calibri"/>
          <w:sz w:val="26"/>
          <w:szCs w:val="26"/>
          <w:lang w:val="fr-CA"/>
        </w:rPr>
      </w:pPr>
      <w:r>
        <w:rPr>
          <w:rFonts w:ascii="Calibri" w:hAnsi="Calibri" w:cs="Calibri"/>
          <w:sz w:val="26"/>
          <w:szCs w:val="26"/>
          <w:lang w:val="fr-FR"/>
        </w:rPr>
        <w:t>L’Union Mondiale des Aveugles (UMA) et le Conseil international pour l'éducation des personnes ayant un handicap visuel (International Council for Education of People with Visual Impairment, ICEVI)</w:t>
      </w:r>
      <w:r>
        <w:rPr>
          <w:rFonts w:ascii="Calibri" w:hAnsi="Calibri" w:cs="Calibri"/>
          <w:b/>
          <w:bCs/>
          <w:sz w:val="26"/>
          <w:szCs w:val="26"/>
          <w:lang w:val="fr-FR"/>
        </w:rPr>
        <w:t xml:space="preserve"> </w:t>
      </w:r>
      <w:r>
        <w:rPr>
          <w:rFonts w:ascii="Calibri" w:hAnsi="Calibri" w:cs="Calibri"/>
          <w:sz w:val="26"/>
          <w:szCs w:val="26"/>
          <w:lang w:val="fr-FR"/>
        </w:rPr>
        <w:t xml:space="preserve">sont convaincus qu’en présence de situations d'urgence, un accès équitable à l'éducation pour les personnes aveugles ou malvoyantes doit être garanti d'une manière qui respecte leur droit à l’éducation, tel qu’inscrit dans l’article 24 de la Convention des Nations Unies relative aux droits des personnes handicapées (CNUDPH), à l’aide de technologies et méthodes accessibles conformément à l’article 9 (Accessibilité) de la CNUDPH. C’est pourquoi nous lançons, conjointement et sans équivoque, les appels suivants : </w:t>
      </w:r>
    </w:p>
    <w:p w14:paraId="27CD3AB8" w14:textId="77777777" w:rsidR="00A8212B" w:rsidRPr="00A8212B" w:rsidRDefault="00A8212B" w:rsidP="00A8212B">
      <w:pPr>
        <w:pStyle w:val="ListParagraph"/>
        <w:numPr>
          <w:ilvl w:val="0"/>
          <w:numId w:val="2"/>
        </w:numPr>
        <w:spacing w:after="0" w:line="276" w:lineRule="auto"/>
        <w:ind w:left="360"/>
        <w:jc w:val="both"/>
        <w:rPr>
          <w:rFonts w:ascii="Calibri" w:hAnsi="Calibri" w:cs="Calibri"/>
          <w:sz w:val="26"/>
          <w:szCs w:val="26"/>
        </w:rPr>
      </w:pPr>
      <w:r>
        <w:rPr>
          <w:rFonts w:ascii="Calibri" w:hAnsi="Calibri" w:cs="Calibri"/>
          <w:b/>
          <w:bCs/>
          <w:sz w:val="26"/>
          <w:szCs w:val="26"/>
          <w:lang w:val="fr-FR"/>
        </w:rPr>
        <w:t>Recommandations à l'intention des gouvernements</w:t>
      </w:r>
    </w:p>
    <w:p w14:paraId="3D96A7CB" w14:textId="77777777" w:rsidR="00A8212B" w:rsidRPr="00485A72" w:rsidRDefault="00092C96"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Consulter activement et impliquer étroitement les organisations de personnes en situation de handicap</w:t>
      </w:r>
      <w:r>
        <w:rPr>
          <w:rFonts w:ascii="Calibri" w:hAnsi="Calibri" w:cs="Calibri"/>
          <w:sz w:val="26"/>
          <w:szCs w:val="26"/>
          <w:lang w:val="fr-FR"/>
        </w:rPr>
        <w:t>, en particulier celles représentant les personnes aveugles ou malvoyantes, dans tous les aspects de la planification et de la mise en œuvre des plans d'éducation d'urgence et des interventions lors des situations d’urgence et pendant la période subséquente.</w:t>
      </w:r>
    </w:p>
    <w:p w14:paraId="31FF8D6D" w14:textId="77777777" w:rsidR="00A8212B" w:rsidRPr="00485A72" w:rsidRDefault="00B237A7"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Recueillir des données sur le handicap, désagrégées par incapacité et mettre en œuvre une approche globale basée sur les données</w:t>
      </w:r>
      <w:r>
        <w:rPr>
          <w:rFonts w:ascii="Calibri" w:hAnsi="Calibri" w:cs="Calibri"/>
          <w:b/>
          <w:bCs/>
          <w:color w:val="385623" w:themeColor="accent6" w:themeShade="80"/>
          <w:sz w:val="26"/>
          <w:szCs w:val="26"/>
          <w:lang w:val="fr-FR"/>
        </w:rPr>
        <w:t xml:space="preserve"> </w:t>
      </w:r>
      <w:r>
        <w:rPr>
          <w:rFonts w:ascii="Calibri" w:hAnsi="Calibri" w:cs="Calibri"/>
          <w:sz w:val="26"/>
          <w:szCs w:val="26"/>
          <w:lang w:val="fr-FR"/>
        </w:rPr>
        <w:t xml:space="preserve">pour évaluer l'impact des situations d'urgence, identifier les lacunes, mesurer l'efficacité des interventions éducatives et élaborer des politiques fondées sur des données probantes pour </w:t>
      </w:r>
      <w:r>
        <w:rPr>
          <w:rFonts w:ascii="Calibri" w:hAnsi="Calibri" w:cs="Calibri"/>
          <w:sz w:val="26"/>
          <w:szCs w:val="26"/>
          <w:lang w:val="fr-FR"/>
        </w:rPr>
        <w:lastRenderedPageBreak/>
        <w:t>garantir des résultats positifs aux apprenants aveugles ou malvoyants lors des situations d’urgence et pendant la période subséquente.</w:t>
      </w:r>
    </w:p>
    <w:p w14:paraId="13896F35" w14:textId="621716BF" w:rsidR="00A8212B" w:rsidRPr="00485A72" w:rsidRDefault="6917BAD7"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 xml:space="preserve">Allouer un soutien budgétaire adéquat à des plateformes, matériels et ressources pédagogiques entièrement accessibles, y compris en braille et en gros caractères, </w:t>
      </w:r>
      <w:r>
        <w:rPr>
          <w:rFonts w:ascii="Calibri" w:hAnsi="Calibri" w:cs="Calibri"/>
          <w:sz w:val="26"/>
          <w:szCs w:val="26"/>
          <w:lang w:val="fr-FR"/>
        </w:rPr>
        <w:t>et fournir aux éducateurs les formations et le soutien nécessaires pour utiliser efficacement les outils et méthodes numériques accessibles au cours de l'enseignement à distance d'urgence.</w:t>
      </w:r>
    </w:p>
    <w:p w14:paraId="358A931C" w14:textId="4634BE61" w:rsidR="000E76AB" w:rsidRPr="00485A72" w:rsidRDefault="000E76AB"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Assurer et promouvoir une offre continue de formations en Braille et à la mobilité</w:t>
      </w:r>
      <w:r>
        <w:rPr>
          <w:rFonts w:ascii="Calibri" w:hAnsi="Calibri" w:cs="Calibri"/>
          <w:sz w:val="26"/>
          <w:szCs w:val="26"/>
          <w:lang w:val="fr-FR"/>
        </w:rPr>
        <w:t>, notamment au sein d'un dispositif d'écoles spécialisées pour aveugles ou malvoyants.</w:t>
      </w:r>
    </w:p>
    <w:p w14:paraId="371D9B68" w14:textId="6AE385A2" w:rsidR="00A8212B" w:rsidRPr="00485A72" w:rsidRDefault="00E667F6"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Assurer et renforcer les services de soutien lors des situations d'urgence</w:t>
      </w:r>
      <w:r>
        <w:rPr>
          <w:rFonts w:ascii="Calibri" w:hAnsi="Calibri" w:cs="Calibri"/>
          <w:b/>
          <w:bCs/>
          <w:color w:val="385623" w:themeColor="accent6" w:themeShade="80"/>
          <w:sz w:val="26"/>
          <w:szCs w:val="26"/>
          <w:lang w:val="fr-FR"/>
        </w:rPr>
        <w:t xml:space="preserve"> </w:t>
      </w:r>
      <w:r>
        <w:rPr>
          <w:rFonts w:ascii="Calibri" w:hAnsi="Calibri" w:cs="Calibri"/>
          <w:sz w:val="26"/>
          <w:szCs w:val="26"/>
          <w:lang w:val="fr-FR"/>
        </w:rPr>
        <w:t>pour les apprenants aveugles ou malvoyants, y compris, sans toutefois s'y limiter, des conseils et un soutien psychosocial pour atténuer l'impact psychologique des crises et leur permettre de faire face efficacement à tout changement radical immédiat et aux conséquences des situations d’urgence à long terme.</w:t>
      </w:r>
    </w:p>
    <w:p w14:paraId="1F5209F6" w14:textId="1C9BDAB9" w:rsidR="00452DF2" w:rsidRPr="00485A72" w:rsidRDefault="006940A1" w:rsidP="002D00ED">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 xml:space="preserve">Autonomiser de manière proactive les personnes aveugles ou malvoyantes grâce à des services de soutien individualisés et adaptés en fonction de l'âge, </w:t>
      </w:r>
      <w:r>
        <w:rPr>
          <w:rFonts w:ascii="Calibri" w:hAnsi="Calibri" w:cs="Calibri"/>
          <w:sz w:val="26"/>
          <w:szCs w:val="26"/>
          <w:lang w:val="fr-FR"/>
        </w:rPr>
        <w:t xml:space="preserve">tels que des formations en orientation et mobilité, des cours en Braille et des formations en technologies adaptatives. </w:t>
      </w:r>
    </w:p>
    <w:p w14:paraId="39A4AB6C" w14:textId="77777777" w:rsidR="00452DF2" w:rsidRPr="00485A72" w:rsidRDefault="00452DF2" w:rsidP="00452DF2">
      <w:pPr>
        <w:spacing w:after="0" w:line="276" w:lineRule="auto"/>
        <w:ind w:left="720"/>
        <w:jc w:val="both"/>
        <w:rPr>
          <w:rFonts w:ascii="Calibri" w:hAnsi="Calibri" w:cs="Calibri"/>
          <w:sz w:val="26"/>
          <w:szCs w:val="26"/>
          <w:lang w:val="fr-CA"/>
        </w:rPr>
      </w:pPr>
    </w:p>
    <w:p w14:paraId="1F8581FF" w14:textId="1EFE1E46" w:rsidR="00A8212B" w:rsidRPr="00485A72" w:rsidRDefault="00A8212B" w:rsidP="003141B7">
      <w:pPr>
        <w:pStyle w:val="ListParagraph"/>
        <w:numPr>
          <w:ilvl w:val="0"/>
          <w:numId w:val="2"/>
        </w:numPr>
        <w:spacing w:after="0" w:line="276" w:lineRule="auto"/>
        <w:ind w:left="450"/>
        <w:jc w:val="both"/>
        <w:rPr>
          <w:rFonts w:ascii="Calibri" w:hAnsi="Calibri" w:cs="Calibri"/>
          <w:sz w:val="26"/>
          <w:szCs w:val="26"/>
          <w:lang w:val="fr-CA"/>
        </w:rPr>
      </w:pPr>
      <w:r>
        <w:rPr>
          <w:rFonts w:ascii="Calibri" w:hAnsi="Calibri" w:cs="Calibri"/>
          <w:b/>
          <w:bCs/>
          <w:sz w:val="26"/>
          <w:szCs w:val="26"/>
          <w:lang w:val="fr-FR"/>
        </w:rPr>
        <w:t xml:space="preserve">Recommandations à l'intention des acteurs non gouvernementaux </w:t>
      </w:r>
    </w:p>
    <w:p w14:paraId="58CB6535" w14:textId="2E37F2F2" w:rsidR="00A8212B" w:rsidRPr="00485A72" w:rsidRDefault="00EB0BDE"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Plaider auprès des gouvernements en faveur de l’élaboration et la mise en œuvre de politiques et interventions inclusives, en collaboration avec les organisations représentatives des personnes en situation de handicap,</w:t>
      </w:r>
      <w:r>
        <w:rPr>
          <w:rFonts w:ascii="Calibri" w:hAnsi="Calibri" w:cs="Calibri"/>
          <w:b/>
          <w:bCs/>
          <w:sz w:val="26"/>
          <w:szCs w:val="26"/>
          <w:lang w:val="fr-FR"/>
        </w:rPr>
        <w:t xml:space="preserve"> </w:t>
      </w:r>
      <w:r>
        <w:rPr>
          <w:rFonts w:ascii="Calibri" w:hAnsi="Calibri" w:cs="Calibri"/>
          <w:sz w:val="26"/>
          <w:szCs w:val="26"/>
          <w:lang w:val="fr-FR"/>
        </w:rPr>
        <w:t>et surveiller activement lesdites politiques et interventions pour s’assurer qu’elles accordent la priorité aux droits et aux besoins des personnes aveugles ou malvoyantes.</w:t>
      </w:r>
    </w:p>
    <w:p w14:paraId="3A72E8DF" w14:textId="77777777" w:rsidR="00EA6129" w:rsidRPr="00485A72" w:rsidRDefault="00EB0BDE"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Collaborer avec des agences internationales et d'autres organisations locales (y compris des entreprises privées) pour fournir des services de soutien</w:t>
      </w:r>
      <w:r>
        <w:rPr>
          <w:rFonts w:ascii="Calibri" w:hAnsi="Calibri" w:cs="Calibri"/>
          <w:b/>
          <w:bCs/>
          <w:color w:val="385623" w:themeColor="accent6" w:themeShade="80"/>
          <w:sz w:val="26"/>
          <w:szCs w:val="26"/>
          <w:lang w:val="fr-FR"/>
        </w:rPr>
        <w:t xml:space="preserve"> </w:t>
      </w:r>
      <w:r>
        <w:rPr>
          <w:rFonts w:ascii="Calibri" w:hAnsi="Calibri" w:cs="Calibri"/>
          <w:sz w:val="26"/>
          <w:szCs w:val="26"/>
          <w:lang w:val="fr-FR"/>
        </w:rPr>
        <w:t>aux personnes aveugles ou malvoyantes dans les situations d'urgence, y compris, sans toutefois s'y limiter, un soutien en matière de santé mentale, des conseils et des équipements visant à faciliter la mobilité ainsi qu'un accès facile à l’enseignement numérique ou à distance.</w:t>
      </w:r>
    </w:p>
    <w:p w14:paraId="672EFF1A" w14:textId="651CF30A" w:rsidR="00EB0BDE" w:rsidRPr="00485A72" w:rsidRDefault="00EA6129" w:rsidP="00A8212B">
      <w:pPr>
        <w:pStyle w:val="ListParagraph"/>
        <w:numPr>
          <w:ilvl w:val="1"/>
          <w:numId w:val="2"/>
        </w:numPr>
        <w:spacing w:after="0" w:line="276" w:lineRule="auto"/>
        <w:ind w:left="1080"/>
        <w:jc w:val="both"/>
        <w:rPr>
          <w:rFonts w:ascii="Calibri" w:hAnsi="Calibri" w:cs="Calibri"/>
          <w:sz w:val="26"/>
          <w:szCs w:val="26"/>
          <w:lang w:val="fr-CA"/>
        </w:rPr>
      </w:pPr>
      <w:r>
        <w:rPr>
          <w:rFonts w:ascii="Calibri" w:hAnsi="Calibri" w:cs="Calibri"/>
          <w:color w:val="385623" w:themeColor="accent6" w:themeShade="80"/>
          <w:sz w:val="26"/>
          <w:szCs w:val="26"/>
          <w:lang w:val="fr-FR"/>
        </w:rPr>
        <w:t xml:space="preserve">Les développeurs technologiques devraient consulter activement les organisations représentatives des personnes en situation de handicap, tout en travaillant avec les gouvernements, </w:t>
      </w:r>
      <w:r>
        <w:rPr>
          <w:rFonts w:ascii="Calibri" w:hAnsi="Calibri" w:cs="Calibri"/>
          <w:sz w:val="26"/>
          <w:szCs w:val="26"/>
          <w:lang w:val="fr-FR"/>
        </w:rPr>
        <w:t xml:space="preserve">pour garantir une meilleure accessibilité aux plateformes, ressources didactiques et technologies numériques utilisées aux fins de </w:t>
      </w:r>
      <w:r>
        <w:rPr>
          <w:rFonts w:ascii="Calibri" w:hAnsi="Calibri" w:cs="Calibri"/>
          <w:sz w:val="26"/>
          <w:szCs w:val="26"/>
          <w:lang w:val="fr-FR"/>
        </w:rPr>
        <w:lastRenderedPageBreak/>
        <w:t>l'enseignement à distance d'urgence. Cela s’étend au devoir des développeurs technologiques de veiller à ce que les plateformes d’apprentissage numérique soient compatibles avec les technologies d’assistance et intègrent des fonctionnalités d’accessibilité telles que le sous-titrage pour le contenu audio.</w:t>
      </w:r>
    </w:p>
    <w:p w14:paraId="5409EC3D" w14:textId="77777777" w:rsidR="002D00ED" w:rsidRPr="00485A72" w:rsidRDefault="002D00ED" w:rsidP="002D00ED">
      <w:pPr>
        <w:pStyle w:val="ListParagraph"/>
        <w:spacing w:after="0" w:line="276" w:lineRule="auto"/>
        <w:ind w:left="1080"/>
        <w:jc w:val="both"/>
        <w:rPr>
          <w:rFonts w:ascii="Calibri" w:hAnsi="Calibri" w:cs="Calibri"/>
          <w:sz w:val="26"/>
          <w:szCs w:val="26"/>
          <w:lang w:val="fr-CA"/>
        </w:rPr>
      </w:pPr>
    </w:p>
    <w:p w14:paraId="3C135E27" w14:textId="792013CA" w:rsidR="00A8212B" w:rsidRPr="00485A72" w:rsidRDefault="00A8212B" w:rsidP="00A8212B">
      <w:pPr>
        <w:pStyle w:val="ListParagraph"/>
        <w:numPr>
          <w:ilvl w:val="0"/>
          <w:numId w:val="2"/>
        </w:numPr>
        <w:spacing w:after="0" w:line="276" w:lineRule="auto"/>
        <w:ind w:left="450"/>
        <w:jc w:val="both"/>
        <w:rPr>
          <w:rFonts w:ascii="Calibri" w:hAnsi="Calibri" w:cs="Calibri"/>
          <w:sz w:val="26"/>
          <w:szCs w:val="26"/>
          <w:lang w:val="fr-CA"/>
        </w:rPr>
      </w:pPr>
      <w:r>
        <w:rPr>
          <w:rFonts w:ascii="Calibri" w:hAnsi="Calibri" w:cs="Calibri"/>
          <w:b/>
          <w:bCs/>
          <w:sz w:val="26"/>
          <w:szCs w:val="26"/>
          <w:lang w:val="fr-FR"/>
        </w:rPr>
        <w:t>Recommandations à l'intention des professionnels de l'éducation (y compris les enseignants, les chefs d'établissement ou les directeurs d'école)</w:t>
      </w:r>
    </w:p>
    <w:p w14:paraId="44273839" w14:textId="5F65D659" w:rsidR="003141B7" w:rsidRPr="00485A72" w:rsidRDefault="00952ADD" w:rsidP="003141B7">
      <w:pPr>
        <w:pStyle w:val="ListParagraph"/>
        <w:numPr>
          <w:ilvl w:val="1"/>
          <w:numId w:val="2"/>
        </w:numPr>
        <w:spacing w:after="0" w:line="276" w:lineRule="auto"/>
        <w:ind w:left="1170"/>
        <w:jc w:val="both"/>
        <w:rPr>
          <w:rFonts w:ascii="Calibri" w:hAnsi="Calibri" w:cs="Calibri"/>
          <w:sz w:val="26"/>
          <w:szCs w:val="26"/>
          <w:lang w:val="fr-CA"/>
        </w:rPr>
      </w:pPr>
      <w:r>
        <w:rPr>
          <w:rFonts w:ascii="Calibri" w:hAnsi="Calibri" w:cs="Calibri"/>
          <w:color w:val="385623" w:themeColor="accent6" w:themeShade="80"/>
          <w:sz w:val="26"/>
          <w:szCs w:val="26"/>
          <w:lang w:val="fr-FR"/>
        </w:rPr>
        <w:t>Mener des consultations régulières et des séances de planification conjointes avec des organisations représentatives de personnes en situation de handicap, des spécialistes de l'orientation et de la mobilité (O et M), des instructeurs de Braille et des experts en technologies adaptatives</w:t>
      </w:r>
      <w:r>
        <w:rPr>
          <w:rFonts w:ascii="Calibri" w:hAnsi="Calibri" w:cs="Calibri"/>
          <w:b/>
          <w:bCs/>
          <w:color w:val="385623" w:themeColor="accent6" w:themeShade="80"/>
          <w:sz w:val="26"/>
          <w:szCs w:val="26"/>
          <w:lang w:val="fr-FR"/>
        </w:rPr>
        <w:t xml:space="preserve"> </w:t>
      </w:r>
      <w:r>
        <w:rPr>
          <w:rFonts w:ascii="Calibri" w:hAnsi="Calibri" w:cs="Calibri"/>
          <w:sz w:val="26"/>
          <w:szCs w:val="26"/>
          <w:lang w:val="fr-FR"/>
        </w:rPr>
        <w:t>pour permettre aux étudiants aveugles ou malvoyants de recevoir l'assistance nécessaire pour évoluer dans leur environnement et accéder aux opportunités d’éducation sur un pied d’égalité avec les autres enfants lors des situations d’urgence.</w:t>
      </w:r>
    </w:p>
    <w:p w14:paraId="1A83D34D" w14:textId="3C6D73B7" w:rsidR="00952ADD" w:rsidRPr="00485A72" w:rsidRDefault="00952ADD" w:rsidP="003141B7">
      <w:pPr>
        <w:pStyle w:val="ListParagraph"/>
        <w:numPr>
          <w:ilvl w:val="1"/>
          <w:numId w:val="2"/>
        </w:numPr>
        <w:spacing w:after="0" w:line="276" w:lineRule="auto"/>
        <w:ind w:left="1170"/>
        <w:jc w:val="both"/>
        <w:rPr>
          <w:rFonts w:ascii="Calibri" w:hAnsi="Calibri" w:cs="Calibri"/>
          <w:sz w:val="26"/>
          <w:szCs w:val="26"/>
          <w:lang w:val="fr-CA"/>
        </w:rPr>
      </w:pPr>
      <w:r>
        <w:rPr>
          <w:rFonts w:ascii="Calibri" w:hAnsi="Calibri" w:cs="Calibri"/>
          <w:color w:val="385623" w:themeColor="accent6" w:themeShade="80"/>
          <w:sz w:val="26"/>
          <w:szCs w:val="26"/>
          <w:lang w:val="fr-FR"/>
        </w:rPr>
        <w:t>Suivre une formation spécialisée en préparation inclusive aux situations d’urgence,</w:t>
      </w:r>
      <w:r>
        <w:rPr>
          <w:rFonts w:ascii="Calibri" w:hAnsi="Calibri" w:cs="Calibri"/>
          <w:sz w:val="26"/>
          <w:szCs w:val="26"/>
          <w:lang w:val="fr-FR"/>
        </w:rPr>
        <w:t xml:space="preserve"> afin de pleinement comprendre les besoins spécifiques des personnes aveugles ou malvoyantes dans les situations d’urgence.</w:t>
      </w:r>
    </w:p>
    <w:p w14:paraId="493F2586" w14:textId="77777777" w:rsidR="00A27CFD" w:rsidRPr="00485A72" w:rsidRDefault="00A27CFD" w:rsidP="003E36B5">
      <w:pPr>
        <w:spacing w:after="0" w:line="276" w:lineRule="auto"/>
        <w:jc w:val="both"/>
        <w:rPr>
          <w:rFonts w:ascii="Verdana" w:hAnsi="Verdana"/>
          <w:sz w:val="32"/>
          <w:szCs w:val="32"/>
          <w:lang w:val="fr-CA"/>
        </w:rPr>
      </w:pPr>
    </w:p>
    <w:p w14:paraId="58AE8DDA" w14:textId="79988163" w:rsidR="00BC2F4B" w:rsidRPr="00485A72" w:rsidRDefault="00BC2F4B" w:rsidP="003E36B5">
      <w:pPr>
        <w:pStyle w:val="Title"/>
        <w:spacing w:after="240" w:line="276" w:lineRule="auto"/>
        <w:rPr>
          <w:rFonts w:ascii="Verdana" w:hAnsi="Verdana"/>
          <w:b/>
          <w:bCs/>
          <w:color w:val="1F3864" w:themeColor="accent1" w:themeShade="80"/>
          <w:sz w:val="30"/>
          <w:szCs w:val="30"/>
          <w:lang w:val="fr-CA"/>
        </w:rPr>
      </w:pPr>
      <w:r>
        <w:rPr>
          <w:rFonts w:asciiTheme="minorHAnsi" w:hAnsiTheme="minorHAnsi" w:cstheme="minorHAnsi"/>
          <w:b/>
          <w:bCs/>
          <w:color w:val="1F3864" w:themeColor="accent1" w:themeShade="80"/>
          <w:sz w:val="30"/>
          <w:szCs w:val="30"/>
          <w:lang w:val="fr-FR"/>
        </w:rPr>
        <w:t>Contexte et justification</w:t>
      </w:r>
    </w:p>
    <w:p w14:paraId="231DB073" w14:textId="2CB20401" w:rsidR="00835AE6" w:rsidRPr="00485A72" w:rsidRDefault="00AC2BE0" w:rsidP="003E36B5">
      <w:pPr>
        <w:spacing w:after="0" w:line="276" w:lineRule="auto"/>
        <w:jc w:val="both"/>
        <w:rPr>
          <w:rFonts w:ascii="Calibri" w:hAnsi="Calibri" w:cs="Calibri"/>
          <w:sz w:val="26"/>
          <w:szCs w:val="26"/>
          <w:lang w:val="fr-CA"/>
        </w:rPr>
      </w:pPr>
      <w:r>
        <w:rPr>
          <w:rFonts w:ascii="Calibri" w:hAnsi="Calibri" w:cs="Calibri"/>
          <w:sz w:val="26"/>
          <w:szCs w:val="26"/>
          <w:lang w:val="fr-FR"/>
        </w:rPr>
        <w:t>Il y a dans le monde environ 240 millions d’enfants en situation de handicap, y compris ceux qui sont aveugles ou malvoyants.</w:t>
      </w:r>
      <w:r>
        <w:rPr>
          <w:rStyle w:val="FootnoteReference"/>
          <w:rFonts w:ascii="Calibri" w:hAnsi="Calibri" w:cs="Calibri"/>
          <w:sz w:val="26"/>
          <w:szCs w:val="26"/>
          <w:lang w:val="fr-FR"/>
        </w:rPr>
        <w:footnoteReference w:id="2"/>
      </w:r>
      <w:r>
        <w:rPr>
          <w:rFonts w:ascii="Calibri" w:hAnsi="Calibri" w:cs="Calibri"/>
          <w:sz w:val="26"/>
          <w:szCs w:val="26"/>
          <w:lang w:val="fr-FR"/>
        </w:rPr>
        <w:t xml:space="preserve"> L'accès à l'éducation est une préoccupation majeure pour ces enfants, en particulier dans les situations d'urgence. Pour les apprenants aveugles ou malvoyants, la possibilité d'accéder à l'éducation dans les situations d'urgence transcende le simple droit d’apprendre ; c'est également un moyen par lequel ils jouissent d'autres droits humains fondamentaux,</w:t>
      </w:r>
      <w:r>
        <w:rPr>
          <w:rStyle w:val="FootnoteReference"/>
          <w:rFonts w:ascii="Calibri" w:hAnsi="Calibri" w:cs="Calibri"/>
          <w:sz w:val="26"/>
          <w:szCs w:val="26"/>
          <w:lang w:val="fr-FR"/>
        </w:rPr>
        <w:footnoteReference w:id="3"/>
      </w:r>
      <w:r>
        <w:rPr>
          <w:rFonts w:ascii="Calibri" w:hAnsi="Calibri" w:cs="Calibri"/>
          <w:sz w:val="26"/>
          <w:szCs w:val="26"/>
          <w:lang w:val="fr-FR"/>
        </w:rPr>
        <w:t xml:space="preserve"> notamment la protection contre l'exploitation, la violence et les abus. De plus, les écoles font souvent office de centres vitaux pour des services essentiels tels que les vivres et les soins de santé dans les situations d'urgence, ce qui rend l’accès à l’éducation plus crucial pour le bien-être et la sécurité des enfants aveugles ou malvoyants. En outre, une éducation de qualité joue un rôle important dans la protection du développement </w:t>
      </w:r>
      <w:r>
        <w:rPr>
          <w:rFonts w:ascii="Calibri" w:hAnsi="Calibri" w:cs="Calibri"/>
          <w:sz w:val="26"/>
          <w:szCs w:val="26"/>
          <w:lang w:val="fr-FR"/>
        </w:rPr>
        <w:lastRenderedPageBreak/>
        <w:t>cognitif et la promotion du bien-être psychosocial,</w:t>
      </w:r>
      <w:r>
        <w:rPr>
          <w:rStyle w:val="FootnoteReference"/>
          <w:rFonts w:ascii="Calibri" w:hAnsi="Calibri" w:cs="Calibri"/>
          <w:sz w:val="26"/>
          <w:szCs w:val="26"/>
          <w:lang w:val="fr-FR"/>
        </w:rPr>
        <w:footnoteReference w:id="4"/>
      </w:r>
      <w:r>
        <w:rPr>
          <w:rFonts w:ascii="Calibri" w:hAnsi="Calibri" w:cs="Calibri"/>
          <w:sz w:val="26"/>
          <w:szCs w:val="26"/>
          <w:lang w:val="fr-FR"/>
        </w:rPr>
        <w:t xml:space="preserve"> en particulier dans les périodes traumatisantes et difficiles. </w:t>
      </w:r>
    </w:p>
    <w:p w14:paraId="34142DC3" w14:textId="77777777" w:rsidR="00835AE6" w:rsidRPr="00485A72" w:rsidRDefault="00835AE6" w:rsidP="003E36B5">
      <w:pPr>
        <w:spacing w:after="0" w:line="276" w:lineRule="auto"/>
        <w:jc w:val="both"/>
        <w:rPr>
          <w:rFonts w:ascii="Calibri" w:hAnsi="Calibri" w:cs="Calibri"/>
          <w:sz w:val="26"/>
          <w:szCs w:val="26"/>
          <w:lang w:val="fr-CA"/>
        </w:rPr>
      </w:pPr>
    </w:p>
    <w:p w14:paraId="147AC00B" w14:textId="72D11ED9" w:rsidR="00A73D51" w:rsidRPr="00485A72" w:rsidRDefault="00835AE6" w:rsidP="003E36B5">
      <w:pPr>
        <w:spacing w:after="0" w:line="276" w:lineRule="auto"/>
        <w:jc w:val="both"/>
        <w:rPr>
          <w:rFonts w:ascii="Calibri" w:hAnsi="Calibri" w:cs="Calibri"/>
          <w:sz w:val="26"/>
          <w:szCs w:val="26"/>
          <w:lang w:val="fr-CA"/>
        </w:rPr>
      </w:pPr>
      <w:r>
        <w:rPr>
          <w:rFonts w:ascii="Calibri" w:hAnsi="Calibri" w:cs="Calibri"/>
          <w:sz w:val="26"/>
          <w:szCs w:val="26"/>
          <w:lang w:val="fr-FR"/>
        </w:rPr>
        <w:t>Malgré son importance reconnue lors des situations d’urgence, il est assez attristant de constater que l’éducation est souvent le premier service suspendu et le dernier à être rétabli dans les situations de crise.</w:t>
      </w:r>
      <w:r>
        <w:rPr>
          <w:rStyle w:val="FootnoteReference"/>
          <w:rFonts w:ascii="Calibri" w:hAnsi="Calibri" w:cs="Calibri"/>
          <w:sz w:val="26"/>
          <w:szCs w:val="26"/>
          <w:lang w:val="fr-FR"/>
        </w:rPr>
        <w:footnoteReference w:id="5"/>
      </w:r>
      <w:r>
        <w:rPr>
          <w:rFonts w:ascii="Calibri" w:hAnsi="Calibri" w:cs="Calibri"/>
          <w:sz w:val="26"/>
          <w:szCs w:val="26"/>
          <w:lang w:val="fr-FR"/>
        </w:rPr>
        <w:t xml:space="preserve"> De plus, cela marginalise encore davantage les personnes aveugles ou malvoyantes, exacerbant ainsi les inégalités et difficultés existantes en matière d’accès à l’éducation ainsi que dans l’exercice d’autres droits humains fondamentaux. La perturbation des services éducatifs lors des situations d’urgence contribue à creuser l’écart éducatif entre les apprenants aveugles ou malvoyants et leurs homologues, les premiers se retrouvant ainsi fortement désavantagés.</w:t>
      </w:r>
    </w:p>
    <w:p w14:paraId="0D1FCE12" w14:textId="77777777" w:rsidR="001F0AD3" w:rsidRPr="00485A72" w:rsidRDefault="001F0AD3" w:rsidP="003E36B5">
      <w:pPr>
        <w:spacing w:after="0" w:line="276" w:lineRule="auto"/>
        <w:jc w:val="both"/>
        <w:rPr>
          <w:rFonts w:ascii="Calibri" w:hAnsi="Calibri" w:cs="Calibri"/>
          <w:sz w:val="26"/>
          <w:szCs w:val="26"/>
          <w:lang w:val="fr-CA"/>
        </w:rPr>
      </w:pPr>
    </w:p>
    <w:p w14:paraId="7618603A" w14:textId="487C3746" w:rsidR="005744EA" w:rsidRPr="00485A72" w:rsidRDefault="001F0AD3" w:rsidP="69BA681B">
      <w:pPr>
        <w:spacing w:after="0" w:line="276" w:lineRule="auto"/>
        <w:jc w:val="both"/>
        <w:rPr>
          <w:rFonts w:ascii="Calibri" w:hAnsi="Calibri" w:cs="Calibri"/>
          <w:sz w:val="26"/>
          <w:szCs w:val="26"/>
          <w:lang w:val="fr-CA"/>
        </w:rPr>
      </w:pPr>
      <w:r>
        <w:rPr>
          <w:rFonts w:ascii="Calibri" w:hAnsi="Calibri" w:cs="Calibri"/>
          <w:sz w:val="26"/>
          <w:szCs w:val="26"/>
          <w:lang w:val="fr-FR"/>
        </w:rPr>
        <w:t>Ces dernières années, la fréquence et la gravité des diverses situations d’urgence ont sensiblement augmenté. Celles-ci vont des catastrophes naturelles comme les tremblements de terre, les cyclones et les inondations aux crises de santé publique, telles que les épidémies et les pandémies, voire aux conflits armés et aux guerres. Ces crises ont considérablement aggravé les difficultés rencontrées par les personnes aveugles ou malvoyantes pour accéder à l’éducation.</w:t>
      </w:r>
      <w:r>
        <w:rPr>
          <w:rStyle w:val="FootnoteReference"/>
          <w:rFonts w:ascii="Calibri" w:hAnsi="Calibri" w:cs="Calibri"/>
          <w:sz w:val="26"/>
          <w:szCs w:val="26"/>
          <w:lang w:val="fr-FR"/>
        </w:rPr>
        <w:footnoteReference w:id="6"/>
      </w:r>
      <w:r>
        <w:rPr>
          <w:rFonts w:ascii="Calibri" w:hAnsi="Calibri" w:cs="Calibri"/>
          <w:sz w:val="26"/>
          <w:szCs w:val="26"/>
          <w:lang w:val="fr-FR"/>
        </w:rPr>
        <w:t xml:space="preserve"> </w:t>
      </w:r>
    </w:p>
    <w:p w14:paraId="088BF429" w14:textId="25108329" w:rsidR="005744EA" w:rsidRPr="00485A72" w:rsidRDefault="005744EA" w:rsidP="69BA681B">
      <w:pPr>
        <w:spacing w:after="0" w:line="276" w:lineRule="auto"/>
        <w:jc w:val="both"/>
        <w:rPr>
          <w:rFonts w:ascii="Calibri" w:hAnsi="Calibri" w:cs="Calibri"/>
          <w:sz w:val="26"/>
          <w:szCs w:val="26"/>
          <w:lang w:val="fr-CA"/>
        </w:rPr>
      </w:pPr>
    </w:p>
    <w:p w14:paraId="7B6A5B2D" w14:textId="619579AB" w:rsidR="005744EA" w:rsidRPr="00485A72" w:rsidRDefault="005A30A5" w:rsidP="69BA681B">
      <w:pPr>
        <w:spacing w:after="0" w:line="276" w:lineRule="auto"/>
        <w:jc w:val="both"/>
        <w:rPr>
          <w:rFonts w:ascii="Calibri" w:hAnsi="Calibri" w:cs="Calibri"/>
          <w:sz w:val="26"/>
          <w:szCs w:val="26"/>
          <w:lang w:val="fr-CA"/>
        </w:rPr>
      </w:pPr>
      <w:r>
        <w:rPr>
          <w:rFonts w:ascii="Calibri" w:hAnsi="Calibri" w:cs="Calibri"/>
          <w:sz w:val="26"/>
          <w:szCs w:val="26"/>
          <w:lang w:val="fr-FR"/>
        </w:rPr>
        <w:t xml:space="preserve">Les catastrophes naturelles, telles que les cyclones et les inondations, ainsi que les conflits comme les guerres, ne causent pas seulement des dommages aux infrastructures éducatives, mais engendrent également des environnements dangereux et inaccessibles pour les apprenants aveugles ou malvoyants. De plus, les crises de santé publique, telles que les épidémies et les pandémies, constituent d’autres obstacles qui exigent le recours à l’apprentissage à distance et à l’accessibilité numérique. Malheureusement, la rareté de plateformes numériques et technologies d’assistance accessibles perpétue souvent l’exclusion des personnes aveugles ou malvoyantes des possibilités d’enseignement à distance. </w:t>
      </w:r>
    </w:p>
    <w:p w14:paraId="4CEF66B4" w14:textId="09184E47" w:rsidR="005744EA" w:rsidRPr="00485A72" w:rsidRDefault="005744EA" w:rsidP="69BA681B">
      <w:pPr>
        <w:spacing w:after="0" w:line="276" w:lineRule="auto"/>
        <w:jc w:val="both"/>
        <w:rPr>
          <w:sz w:val="26"/>
          <w:szCs w:val="26"/>
          <w:lang w:val="fr-CA"/>
        </w:rPr>
      </w:pPr>
    </w:p>
    <w:p w14:paraId="5BB624B5" w14:textId="36C15029" w:rsidR="005744EA" w:rsidRPr="00485A72" w:rsidRDefault="00000000" w:rsidP="69BA681B">
      <w:pPr>
        <w:spacing w:after="0" w:line="276" w:lineRule="auto"/>
        <w:jc w:val="both"/>
        <w:rPr>
          <w:sz w:val="26"/>
          <w:szCs w:val="26"/>
          <w:lang w:val="fr-CA"/>
        </w:rPr>
      </w:pPr>
      <w:hyperlink r:id="rId10" w:history="1">
        <w:r w:rsidR="00485A72">
          <w:rPr>
            <w:rStyle w:val="Hyperlink"/>
            <w:sz w:val="26"/>
            <w:szCs w:val="26"/>
            <w:lang w:val="fr-FR"/>
          </w:rPr>
          <w:t>L'étude de l'UMA sur la COVID-19</w:t>
        </w:r>
      </w:hyperlink>
      <w:r w:rsidR="00485A72">
        <w:rPr>
          <w:sz w:val="26"/>
          <w:szCs w:val="26"/>
          <w:lang w:val="fr-FR"/>
        </w:rPr>
        <w:t xml:space="preserve"> a mis en évidence l’ampleur des profondes inégalités structurelles au sein de la société révélées par la pandémie. Le mépris des exigences en matière d’accommodement raisonnable et des préférences en matière d’accessibilité pour les personnes aveugles ou malvoyantes et d’autres groupes croisés est particulièrement notable. De nombreuses solutions numériques et techniques développées pour poursuivre l'éducation </w:t>
      </w:r>
      <w:r w:rsidR="00485A72">
        <w:rPr>
          <w:sz w:val="26"/>
          <w:szCs w:val="26"/>
          <w:lang w:val="fr-FR"/>
        </w:rPr>
        <w:lastRenderedPageBreak/>
        <w:t xml:space="preserve">et le travail pendant la pandémie n’ont pas pleinement pris en compte les besoins de ces communautés marginalisées, creusant ainsi l’écart encore davantage. </w:t>
      </w:r>
    </w:p>
    <w:p w14:paraId="3EE1CA22" w14:textId="77777777" w:rsidR="005744EA" w:rsidRPr="00485A72" w:rsidRDefault="005744EA" w:rsidP="003E36B5">
      <w:pPr>
        <w:spacing w:after="0" w:line="276" w:lineRule="auto"/>
        <w:jc w:val="both"/>
        <w:rPr>
          <w:rFonts w:ascii="Calibri" w:hAnsi="Calibri" w:cs="Calibri"/>
          <w:sz w:val="26"/>
          <w:szCs w:val="26"/>
          <w:lang w:val="fr-CA"/>
        </w:rPr>
      </w:pPr>
    </w:p>
    <w:p w14:paraId="334E3D55" w14:textId="5B2FACD1" w:rsidR="001F0AD3" w:rsidRPr="00485A72" w:rsidRDefault="00B9318F" w:rsidP="69BA681B">
      <w:pPr>
        <w:spacing w:after="0" w:line="276" w:lineRule="auto"/>
        <w:jc w:val="both"/>
        <w:rPr>
          <w:rFonts w:ascii="Calibri" w:hAnsi="Calibri" w:cs="Calibri"/>
          <w:sz w:val="26"/>
          <w:szCs w:val="26"/>
          <w:lang w:val="fr-CA"/>
        </w:rPr>
      </w:pPr>
      <w:r>
        <w:rPr>
          <w:rFonts w:ascii="Calibri" w:hAnsi="Calibri" w:cs="Calibri"/>
          <w:sz w:val="26"/>
          <w:szCs w:val="26"/>
          <w:lang w:val="fr-FR"/>
        </w:rPr>
        <w:t>En outre, l’impact des situations d’urgence sur les populations déplacées de force est particulièrement pénible. Il y a environ 83 millions de personnes déplacées de force dans le monde,</w:t>
      </w:r>
      <w:r>
        <w:rPr>
          <w:rStyle w:val="FootnoteReference"/>
          <w:rFonts w:ascii="Calibri" w:hAnsi="Calibri" w:cs="Calibri"/>
          <w:sz w:val="26"/>
          <w:szCs w:val="26"/>
          <w:lang w:val="fr-FR"/>
        </w:rPr>
        <w:footnoteReference w:id="7"/>
      </w:r>
      <w:r>
        <w:rPr>
          <w:rFonts w:ascii="Calibri" w:hAnsi="Calibri" w:cs="Calibri"/>
          <w:sz w:val="26"/>
          <w:szCs w:val="26"/>
          <w:lang w:val="fr-FR"/>
        </w:rPr>
        <w:t xml:space="preserve"> dont plus de 14 millions sont des personnes en situation de handicap, notamment aveugles ou malvoyantes.</w:t>
      </w:r>
      <w:r>
        <w:rPr>
          <w:rStyle w:val="FootnoteReference"/>
          <w:rFonts w:ascii="Calibri" w:hAnsi="Calibri" w:cs="Calibri"/>
          <w:sz w:val="26"/>
          <w:szCs w:val="26"/>
          <w:lang w:val="fr-FR"/>
        </w:rPr>
        <w:footnoteReference w:id="8"/>
      </w:r>
      <w:r>
        <w:rPr>
          <w:rFonts w:ascii="Calibri" w:hAnsi="Calibri" w:cs="Calibri"/>
          <w:sz w:val="26"/>
          <w:szCs w:val="26"/>
          <w:lang w:val="fr-FR"/>
        </w:rPr>
        <w:t xml:space="preserve"> La proportion importante d’enfants déplacés, environ 43,3 millions en 2022,</w:t>
      </w:r>
      <w:r>
        <w:rPr>
          <w:rStyle w:val="FootnoteReference"/>
          <w:rFonts w:ascii="Calibri" w:hAnsi="Calibri" w:cs="Calibri"/>
          <w:sz w:val="26"/>
          <w:szCs w:val="26"/>
          <w:lang w:val="fr-FR"/>
        </w:rPr>
        <w:footnoteReference w:id="9"/>
      </w:r>
      <w:r>
        <w:rPr>
          <w:rFonts w:ascii="Calibri" w:hAnsi="Calibri" w:cs="Calibri"/>
          <w:sz w:val="26"/>
          <w:szCs w:val="26"/>
          <w:lang w:val="fr-FR"/>
        </w:rPr>
        <w:t xml:space="preserve"> souligne la nécessité de garantir d'urgence les droits de cette population vulnérable. En 2023, l'UNICEF a signalé que les enfants en situation de handicap déplacés étaient confrontés à de graves privations, notamment un accès limité à une éducation de qualité, à des soins de santé, à de la nourriture et à de l'eau potable.</w:t>
      </w:r>
      <w:r>
        <w:rPr>
          <w:rStyle w:val="FootnoteReference"/>
          <w:rFonts w:ascii="Calibri" w:hAnsi="Calibri" w:cs="Calibri"/>
          <w:sz w:val="26"/>
          <w:szCs w:val="26"/>
          <w:lang w:val="fr-FR"/>
        </w:rPr>
        <w:footnoteReference w:id="10"/>
      </w:r>
      <w:r>
        <w:rPr>
          <w:rFonts w:ascii="Calibri" w:hAnsi="Calibri" w:cs="Calibri"/>
          <w:sz w:val="26"/>
          <w:szCs w:val="26"/>
          <w:lang w:val="fr-FR"/>
        </w:rPr>
        <w:t xml:space="preserve"> Cela corrobore de précédents témoignages selon lesquels les enfants en situation de handicap dans les camps de réfugiés étaient confrontés à une vulnérabilité accrue à la stigmatisation, à l'exclusion, à l'isolement et à la violence.</w:t>
      </w:r>
      <w:r>
        <w:rPr>
          <w:rStyle w:val="FootnoteReference"/>
          <w:rFonts w:ascii="Calibri" w:hAnsi="Calibri" w:cs="Calibri"/>
          <w:sz w:val="26"/>
          <w:szCs w:val="26"/>
          <w:lang w:val="fr-FR"/>
        </w:rPr>
        <w:footnoteReference w:id="11"/>
      </w:r>
      <w:r>
        <w:rPr>
          <w:rFonts w:ascii="Calibri" w:hAnsi="Calibri" w:cs="Calibri"/>
          <w:sz w:val="26"/>
          <w:szCs w:val="26"/>
          <w:lang w:val="fr-FR"/>
        </w:rPr>
        <w:t xml:space="preserve"> Bien que les données spécifiques sur le nombre de réfugiés ou de demandeurs d’asile d’âge scolaire aveugles ou malvoyants restent rares, les circonstances décrites ci-dessus amplifient l’urgence de mettre en œuvre des mesures éducatives inclusives et des services d’accompagnement pour les enfants déplacés aveugles ou malvoyants. </w:t>
      </w:r>
    </w:p>
    <w:p w14:paraId="75DBBF2E" w14:textId="77777777" w:rsidR="00C824C4" w:rsidRPr="00485A72" w:rsidRDefault="00C824C4" w:rsidP="69BA681B">
      <w:pPr>
        <w:spacing w:after="0" w:line="276" w:lineRule="auto"/>
        <w:jc w:val="both"/>
        <w:rPr>
          <w:rFonts w:ascii="Calibri" w:hAnsi="Calibri" w:cs="Calibri"/>
          <w:sz w:val="20"/>
          <w:szCs w:val="20"/>
          <w:lang w:val="fr-CA"/>
        </w:rPr>
      </w:pPr>
    </w:p>
    <w:p w14:paraId="16297957" w14:textId="73BE7035" w:rsidR="00AF6E8E" w:rsidRPr="00485A72" w:rsidRDefault="00093D9F" w:rsidP="00C824C4">
      <w:pPr>
        <w:pStyle w:val="IntenseQuote"/>
        <w:spacing w:before="0"/>
        <w:rPr>
          <w:b/>
          <w:bCs/>
          <w:color w:val="1F3864" w:themeColor="accent1" w:themeShade="80"/>
          <w:sz w:val="28"/>
          <w:szCs w:val="28"/>
          <w:lang w:val="fr-CA"/>
        </w:rPr>
      </w:pPr>
      <w:r>
        <w:rPr>
          <w:b/>
          <w:bCs/>
          <w:color w:val="1F3864" w:themeColor="accent1" w:themeShade="80"/>
          <w:sz w:val="28"/>
          <w:szCs w:val="28"/>
          <w:lang w:val="fr-FR"/>
        </w:rPr>
        <w:t>Les enfants et les personnes aveugles ou malvoyantes ont des droits dans tous les contextes, y compris en situation de déplacement à la suite de situations d'urgence.</w:t>
      </w:r>
    </w:p>
    <w:p w14:paraId="1211B928" w14:textId="040F3B71" w:rsidR="00AF6E8E" w:rsidRPr="00485A72" w:rsidRDefault="00AF6E8E" w:rsidP="003E36B5">
      <w:pPr>
        <w:spacing w:after="0" w:line="276" w:lineRule="auto"/>
        <w:jc w:val="both"/>
        <w:rPr>
          <w:rFonts w:ascii="Calibri" w:hAnsi="Calibri" w:cs="Calibri"/>
          <w:sz w:val="26"/>
          <w:szCs w:val="26"/>
          <w:lang w:val="fr-CA"/>
        </w:rPr>
      </w:pPr>
      <w:r>
        <w:rPr>
          <w:rFonts w:ascii="Calibri" w:hAnsi="Calibri" w:cs="Calibri"/>
          <w:sz w:val="26"/>
          <w:szCs w:val="26"/>
          <w:lang w:val="fr-FR"/>
        </w:rPr>
        <w:t xml:space="preserve">Il est impératif de s’attaquer à ces questions pressantes en prenant conscience de l'urgence et avec détermination. Pour surmonter les défis multiformes décrits ci-dessus, il faudrait des stratégies globales et fondées sur des données probantes pour garantir un accès équitable à l’éducation aux personnes d’âge scolaire aveugles ou malvoyantes lors des situations d’urgence. Il est primordial d’adopter des plans d’éducation d’urgence inclusifs qui répondent de manière adéquate aux besoins uniques des apprenants aveugles ou malvoyants en milieu éducatif. Cela comprend la fourniture d’informations accessibles, de méthodes </w:t>
      </w:r>
      <w:r>
        <w:rPr>
          <w:rFonts w:ascii="Calibri" w:hAnsi="Calibri" w:cs="Calibri"/>
          <w:sz w:val="26"/>
          <w:szCs w:val="26"/>
          <w:lang w:val="fr-FR"/>
        </w:rPr>
        <w:lastRenderedPageBreak/>
        <w:t>d’apprentissage alternatives et de technologies d’assistance adéquates et adaptées en fonction de l’âge. Les gouvernements devraient également forger de manière proactive des collaborations significatives avec des organisations représentatives de personnes en situation de handicap, des acteurs non gouvernementaux, des autorités éducatives à différents niveaux et d’autres parties prenantes pour mettre en commun l’expertise et les ressources nécessaires à l’élaboration et à la mise en œuvre de solutions globales lors des situations d’urgence et pendant la période subséquente.</w:t>
      </w:r>
    </w:p>
    <w:p w14:paraId="7BCC4F12" w14:textId="77777777" w:rsidR="007473CD" w:rsidRPr="00485A72" w:rsidRDefault="007473CD" w:rsidP="003E36B5">
      <w:pPr>
        <w:spacing w:after="0" w:line="276" w:lineRule="auto"/>
        <w:jc w:val="both"/>
        <w:rPr>
          <w:rFonts w:ascii="Calibri" w:hAnsi="Calibri" w:cs="Calibri"/>
          <w:sz w:val="26"/>
          <w:szCs w:val="26"/>
          <w:lang w:val="fr-CA"/>
        </w:rPr>
      </w:pPr>
    </w:p>
    <w:p w14:paraId="318B256C" w14:textId="269B12EE" w:rsidR="00C90FC2" w:rsidRPr="00485A72" w:rsidRDefault="00C90FC2" w:rsidP="003E36B5">
      <w:pPr>
        <w:spacing w:after="0" w:line="276" w:lineRule="auto"/>
        <w:jc w:val="both"/>
        <w:rPr>
          <w:rFonts w:ascii="Calibri" w:hAnsi="Calibri" w:cs="Calibri"/>
          <w:sz w:val="26"/>
          <w:szCs w:val="26"/>
          <w:lang w:val="fr-CA"/>
        </w:rPr>
      </w:pPr>
      <w:r>
        <w:rPr>
          <w:rFonts w:ascii="Calibri" w:hAnsi="Calibri" w:cs="Calibri"/>
          <w:sz w:val="26"/>
          <w:szCs w:val="26"/>
          <w:lang w:val="fr-FR"/>
        </w:rPr>
        <w:t xml:space="preserve">La collecte de données fiables, désagrégées par handicap, est cruciale pour comprendre l’étendue de l’impact des situations d’urgence sur le droit à l’éducation des personnes aveugles ou malvoyantes. En menant une collecte et un suivi complets de données désagrégées par handicap, les gouvernements peuvent facilement identifier les lacunes et évaluer l’efficacité des interventions, conduisant ainsi à des politiques fondées sur des données probantes et à des résultats tangibles de services d’accompagnement ciblés pour ceux qui en ont cruellement besoin. </w:t>
      </w:r>
    </w:p>
    <w:p w14:paraId="26FA6437" w14:textId="77777777" w:rsidR="002D7F58" w:rsidRPr="00485A72" w:rsidRDefault="002D7F58" w:rsidP="003E36B5">
      <w:pPr>
        <w:spacing w:after="0" w:line="276" w:lineRule="auto"/>
        <w:jc w:val="both"/>
        <w:rPr>
          <w:rFonts w:ascii="Calibri" w:hAnsi="Calibri" w:cs="Calibri"/>
          <w:sz w:val="26"/>
          <w:szCs w:val="26"/>
          <w:lang w:val="fr-CA"/>
        </w:rPr>
      </w:pPr>
    </w:p>
    <w:p w14:paraId="3E414514" w14:textId="34A3B10D" w:rsidR="008F7D2F" w:rsidRPr="00485A72" w:rsidRDefault="002D7F58" w:rsidP="003E36B5">
      <w:pPr>
        <w:spacing w:after="0" w:line="276" w:lineRule="auto"/>
        <w:jc w:val="both"/>
        <w:rPr>
          <w:rFonts w:ascii="Calibri" w:hAnsi="Calibri" w:cs="Calibri"/>
          <w:sz w:val="26"/>
          <w:szCs w:val="26"/>
          <w:lang w:val="fr-CA"/>
        </w:rPr>
      </w:pPr>
      <w:r>
        <w:rPr>
          <w:rFonts w:ascii="Calibri" w:hAnsi="Calibri" w:cs="Calibri"/>
          <w:sz w:val="26"/>
          <w:szCs w:val="26"/>
          <w:lang w:val="fr-FR"/>
        </w:rPr>
        <w:t>En outre, promouvoir l’accessibilité numérique et former les éducateurs à l’utilisation d’outils et méthodes numériques accessibles lors des situations d’urgence peut améliorer considérablement les expériences d’apprentissage à distance pour les personnes aveugles ou malvoyantes. La fourniture de services d’accompagnement individualisés, tels que la formation en orientation et mobilité, l'enseignement en Braille et la formation aux technologies adaptatives, permettra aux apprenants aveugles ou malvoyants de participer efficacement au processus éducatif et ainsi d'acquérir les connaissances et compétences nécessaires pour surmonter les difficultés et construire un avenir plus prometteur.</w:t>
      </w:r>
    </w:p>
    <w:p w14:paraId="5B3A864F" w14:textId="77777777" w:rsidR="008F7D2F" w:rsidRPr="00485A72" w:rsidRDefault="008F7D2F" w:rsidP="003E36B5">
      <w:pPr>
        <w:spacing w:after="0" w:line="276" w:lineRule="auto"/>
        <w:jc w:val="both"/>
        <w:rPr>
          <w:rFonts w:ascii="Calibri" w:hAnsi="Calibri" w:cs="Calibri"/>
          <w:sz w:val="26"/>
          <w:szCs w:val="26"/>
          <w:lang w:val="fr-CA"/>
        </w:rPr>
      </w:pPr>
    </w:p>
    <w:p w14:paraId="5622566E" w14:textId="3758B828" w:rsidR="1E5B6D69" w:rsidRPr="00485A72" w:rsidRDefault="1E5B6D69" w:rsidP="69BA681B">
      <w:pPr>
        <w:spacing w:after="0" w:line="276" w:lineRule="auto"/>
        <w:jc w:val="both"/>
        <w:rPr>
          <w:rFonts w:ascii="Calibri" w:hAnsi="Calibri" w:cs="Calibri"/>
          <w:sz w:val="26"/>
          <w:szCs w:val="26"/>
          <w:lang w:val="fr-CA"/>
        </w:rPr>
      </w:pPr>
      <w:r>
        <w:rPr>
          <w:rFonts w:ascii="Calibri" w:hAnsi="Calibri" w:cs="Calibri"/>
          <w:sz w:val="26"/>
          <w:szCs w:val="26"/>
          <w:lang w:val="fr-FR"/>
        </w:rPr>
        <w:t>En tant qu’UMA et ICEVI, nous affirmons avec conviction que garantir le droit à l’éducation des personnes aveugles ou malvoyantes lors des situations d’urgence nécessite des efforts concertés de la part des gouvernements. Cela implique de favoriser les collaborations avec diverses parties prenantes, y compris les organisations représentatives des personnes en situation de handicap. Il est également essentiel de maintenir un engagement indéfectible envers l’inclusion et la participation substantielle.</w:t>
      </w:r>
    </w:p>
    <w:p w14:paraId="0090085C" w14:textId="5138416F" w:rsidR="69BA681B" w:rsidRPr="00485A72" w:rsidRDefault="69BA681B" w:rsidP="69BA681B">
      <w:pPr>
        <w:spacing w:after="0" w:line="276" w:lineRule="auto"/>
        <w:jc w:val="both"/>
        <w:rPr>
          <w:rFonts w:ascii="Calibri" w:hAnsi="Calibri" w:cs="Calibri"/>
          <w:sz w:val="26"/>
          <w:szCs w:val="26"/>
          <w:lang w:val="fr-CA"/>
        </w:rPr>
      </w:pPr>
    </w:p>
    <w:p w14:paraId="5343DA64" w14:textId="797399F5" w:rsidR="1E5B6D69" w:rsidRPr="00485A72" w:rsidRDefault="1E5B6D69" w:rsidP="69BA681B">
      <w:pPr>
        <w:spacing w:after="0" w:line="276" w:lineRule="auto"/>
        <w:jc w:val="both"/>
        <w:rPr>
          <w:lang w:val="fr-CA"/>
        </w:rPr>
      </w:pPr>
      <w:r>
        <w:rPr>
          <w:rFonts w:ascii="Calibri" w:hAnsi="Calibri" w:cs="Calibri"/>
          <w:sz w:val="26"/>
          <w:szCs w:val="26"/>
          <w:lang w:val="fr-FR"/>
        </w:rPr>
        <w:t xml:space="preserve">Il demeure primordial que, lors de la planification et de l’exécution des interventions d’urgence, ainsi que pendant la phase de reconstruction subséquente aux situations d’urgence, les gouvernements et l’ensemble des parties prenantes concernées reconnaissent le lien intrinsèque entre l’éducation et les autres droits humains fondamentaux. De plus, ils </w:t>
      </w:r>
      <w:r>
        <w:rPr>
          <w:rFonts w:ascii="Calibri" w:hAnsi="Calibri" w:cs="Calibri"/>
          <w:sz w:val="26"/>
          <w:szCs w:val="26"/>
          <w:lang w:val="fr-FR"/>
        </w:rPr>
        <w:lastRenderedPageBreak/>
        <w:t>doivent reconnaître et aborder les défis particuliers rencontrés par les personnes en situation de handicap, en particulier celles qui sont aveugles ou malvoyantes. Cette reconnaissance enrichira considérablement l’approche des interventions d'urgence, garantissant ainsi que personne ne soit laissé pour compte, même dans les phases les plus difficiles des crises.</w:t>
      </w:r>
    </w:p>
    <w:p w14:paraId="5B0B8A67" w14:textId="5C5D9A76" w:rsidR="69BA681B" w:rsidRPr="00485A72" w:rsidRDefault="69BA681B" w:rsidP="69BA681B">
      <w:pPr>
        <w:spacing w:after="0" w:line="276" w:lineRule="auto"/>
        <w:jc w:val="both"/>
        <w:rPr>
          <w:rFonts w:ascii="Calibri" w:hAnsi="Calibri" w:cs="Calibri"/>
          <w:sz w:val="8"/>
          <w:szCs w:val="8"/>
          <w:lang w:val="fr-CA"/>
        </w:rPr>
      </w:pPr>
    </w:p>
    <w:p w14:paraId="5004E496" w14:textId="77777777" w:rsidR="0020608D" w:rsidRPr="00485A72" w:rsidRDefault="0020608D" w:rsidP="003E36B5">
      <w:pPr>
        <w:spacing w:after="0" w:line="276" w:lineRule="auto"/>
        <w:jc w:val="both"/>
        <w:rPr>
          <w:rFonts w:ascii="Calibri" w:hAnsi="Calibri" w:cs="Calibri"/>
          <w:sz w:val="28"/>
          <w:szCs w:val="28"/>
          <w:lang w:val="fr-CA"/>
        </w:rPr>
      </w:pPr>
    </w:p>
    <w:p w14:paraId="6B6A7A8B" w14:textId="556D832D" w:rsidR="007150C6" w:rsidRPr="00485A72" w:rsidRDefault="007150C6" w:rsidP="00CC10BB">
      <w:pPr>
        <w:pStyle w:val="Title"/>
        <w:spacing w:after="240" w:line="276" w:lineRule="auto"/>
        <w:rPr>
          <w:rFonts w:asciiTheme="minorHAnsi" w:hAnsiTheme="minorHAnsi" w:cstheme="minorHAnsi"/>
          <w:b/>
          <w:bCs/>
          <w:color w:val="1F3864" w:themeColor="accent1" w:themeShade="80"/>
          <w:sz w:val="30"/>
          <w:szCs w:val="30"/>
          <w:lang w:val="fr-CA"/>
        </w:rPr>
      </w:pPr>
      <w:r>
        <w:rPr>
          <w:rFonts w:asciiTheme="minorHAnsi" w:hAnsiTheme="minorHAnsi" w:cstheme="minorHAnsi"/>
          <w:b/>
          <w:bCs/>
          <w:color w:val="1F3864" w:themeColor="accent1" w:themeShade="80"/>
          <w:sz w:val="30"/>
          <w:szCs w:val="30"/>
          <w:lang w:val="fr-FR"/>
        </w:rPr>
        <w:t>À propos de nous</w:t>
      </w:r>
    </w:p>
    <w:p w14:paraId="61791A6E" w14:textId="51CB8D26" w:rsidR="00CC10BB" w:rsidRPr="00485A72" w:rsidRDefault="00CC10BB" w:rsidP="007150C6">
      <w:pPr>
        <w:pStyle w:val="Title"/>
        <w:spacing w:line="276" w:lineRule="auto"/>
        <w:rPr>
          <w:rFonts w:ascii="Verdana" w:hAnsi="Verdana"/>
          <w:b/>
          <w:bCs/>
          <w:color w:val="1F3864" w:themeColor="accent1" w:themeShade="80"/>
          <w:sz w:val="26"/>
          <w:szCs w:val="26"/>
          <w:lang w:val="fr-CA"/>
        </w:rPr>
      </w:pPr>
      <w:r>
        <w:rPr>
          <w:rFonts w:asciiTheme="minorHAnsi" w:hAnsiTheme="minorHAnsi" w:cstheme="minorHAnsi"/>
          <w:b/>
          <w:bCs/>
          <w:color w:val="1F3864" w:themeColor="accent1" w:themeShade="80"/>
          <w:sz w:val="26"/>
          <w:szCs w:val="26"/>
          <w:lang w:val="fr-FR"/>
        </w:rPr>
        <w:t>Union Mondiale des Aveugles (UMA)</w:t>
      </w:r>
    </w:p>
    <w:p w14:paraId="71DC2017" w14:textId="1F2788B5" w:rsidR="003413C3" w:rsidRPr="00485A72" w:rsidRDefault="003413C3" w:rsidP="007150C6">
      <w:pPr>
        <w:spacing w:line="276" w:lineRule="auto"/>
        <w:jc w:val="both"/>
        <w:rPr>
          <w:sz w:val="26"/>
          <w:szCs w:val="26"/>
          <w:lang w:val="fr-CA"/>
        </w:rPr>
      </w:pPr>
      <w:r>
        <w:rPr>
          <w:rFonts w:ascii="Calibri" w:hAnsi="Calibri"/>
          <w:sz w:val="26"/>
          <w:szCs w:val="26"/>
          <w:lang w:val="fr-FR"/>
        </w:rPr>
        <w:t xml:space="preserve">L’UMA est </w:t>
      </w:r>
      <w:r>
        <w:rPr>
          <w:sz w:val="26"/>
          <w:szCs w:val="26"/>
          <w:lang w:val="fr-FR"/>
        </w:rPr>
        <w:t xml:space="preserve">une organisation mondiale qui représente plus de 253 millions de personnes aveugles ou malvoyantes. Notre raison d’être est de concevoir ensemble un avenir dans lequel les personnes aveugles ou malvoyantes vivront en ayant toute leur place, de manière pleinement autonome et en toute liberté. Notre mandat consiste à faire progresser les droits humains, à autonomiser nos membres et à améliorer les conditions de vie de toutes les personnes aveugles ou malvoyantes dans le monde. Notre travail repose sur la profonde conviction que la pleine mise en œuvre et le respect de la CDPH conduiront à une société plus inclusive, accessible et égalitaire. Nous sommes un des membres fondateurs de l’International Disability Alliance (IDA) et siégeons également à son conseil d’administration. </w:t>
      </w:r>
    </w:p>
    <w:p w14:paraId="700E3EE8" w14:textId="483F5BF8" w:rsidR="007150C6" w:rsidRPr="00485A72" w:rsidRDefault="007150C6" w:rsidP="007150C6">
      <w:pPr>
        <w:pStyle w:val="Title"/>
        <w:spacing w:line="276" w:lineRule="auto"/>
        <w:rPr>
          <w:rFonts w:ascii="Verdana" w:hAnsi="Verdana"/>
          <w:b/>
          <w:bCs/>
          <w:color w:val="1F3864" w:themeColor="accent1" w:themeShade="80"/>
          <w:sz w:val="26"/>
          <w:szCs w:val="26"/>
          <w:lang w:val="fr-CA"/>
        </w:rPr>
      </w:pPr>
      <w:r>
        <w:rPr>
          <w:rFonts w:asciiTheme="minorHAnsi" w:hAnsiTheme="minorHAnsi" w:cstheme="minorBidi"/>
          <w:b/>
          <w:bCs/>
          <w:color w:val="1F3864" w:themeColor="accent1" w:themeShade="80"/>
          <w:sz w:val="26"/>
          <w:szCs w:val="26"/>
          <w:lang w:val="fr-FR"/>
        </w:rPr>
        <w:t>Conseil international pour l'éducation des personnes ayant un handicap visuel (International Council for Education of People with Visual Impairment, ICEVI)</w:t>
      </w:r>
    </w:p>
    <w:p w14:paraId="3D824FCC" w14:textId="4CD18C7A" w:rsidR="765D8135" w:rsidRPr="00485A72" w:rsidRDefault="765D8135" w:rsidP="00A6678C">
      <w:pPr>
        <w:spacing w:line="276" w:lineRule="auto"/>
        <w:jc w:val="both"/>
        <w:rPr>
          <w:sz w:val="28"/>
          <w:szCs w:val="28"/>
          <w:lang w:val="fr-CA"/>
        </w:rPr>
      </w:pPr>
      <w:r>
        <w:rPr>
          <w:rFonts w:ascii="Calibri" w:hAnsi="Calibri" w:cs="Calibri"/>
          <w:sz w:val="26"/>
          <w:szCs w:val="26"/>
          <w:lang w:val="fr-FR"/>
        </w:rPr>
        <w:t xml:space="preserve">La raison d’être de l’ICEVI est de faire progresser le droit des personnes aveugles ou malvoyantes à accéder à une éducation inclusive, équitable et de qualité. En tant que réseau mondial fondé sur l'adhésion de ses membres, l'ICEVI s'acquitte de son mandat avec la ferme conviction que toutes les personnes aveugles ou malvoyantes, ainsi que leurs familles, ont le droit de (1) bénéficier d'une gamme complète de services éducatifs et d'être incluses dans les programmes pédagogiques de leurs pays et communautés respectifs ; (2) bénéficier précocement d'une intervention, d'un développement infantile, de soins et d'une éducation préscolaire ; (3) bénéficier du soutien d'enseignants et d'autres professionnels correctement formés ; (4) bénéficier d'aménagements raisonnables pour répondre à leurs besoins, y compris du matériel pédagogique accessible, une technologie améliorée, des méthodes et programmes d'enseignement de haut niveau et conformes aux meilleures pratiques ; (5) vivre dans des environnements exempts de barrières, de stigmates sociaux et de stéréotypes ; et (6) mener une vie productive, selon leurs aspirations et leurs capacités, sans discrimination et sur la base de l’égalité des chances.​  </w:t>
      </w:r>
    </w:p>
    <w:p w14:paraId="4782629F" w14:textId="77777777" w:rsidR="007150C6" w:rsidRPr="00485A72" w:rsidRDefault="007150C6" w:rsidP="003413C3">
      <w:pPr>
        <w:spacing w:line="276" w:lineRule="auto"/>
        <w:jc w:val="both"/>
        <w:rPr>
          <w:sz w:val="12"/>
          <w:szCs w:val="12"/>
          <w:lang w:val="fr-CA"/>
        </w:rPr>
      </w:pPr>
    </w:p>
    <w:p w14:paraId="0A3C02E5" w14:textId="567364E5" w:rsidR="00F3053D" w:rsidRPr="00485A72" w:rsidRDefault="00F3053D" w:rsidP="00F3053D">
      <w:pPr>
        <w:pStyle w:val="Title"/>
        <w:spacing w:after="240" w:line="276" w:lineRule="auto"/>
        <w:rPr>
          <w:rFonts w:ascii="Verdana" w:hAnsi="Verdana"/>
          <w:b/>
          <w:bCs/>
          <w:color w:val="1F3864" w:themeColor="accent1" w:themeShade="80"/>
          <w:sz w:val="30"/>
          <w:szCs w:val="30"/>
          <w:lang w:val="fr-CA"/>
        </w:rPr>
      </w:pPr>
      <w:r>
        <w:rPr>
          <w:rFonts w:asciiTheme="minorHAnsi" w:hAnsiTheme="minorHAnsi" w:cstheme="minorHAnsi"/>
          <w:b/>
          <w:bCs/>
          <w:color w:val="1F3864" w:themeColor="accent1" w:themeShade="80"/>
          <w:sz w:val="30"/>
          <w:szCs w:val="30"/>
          <w:lang w:val="fr-FR"/>
        </w:rPr>
        <w:t xml:space="preserve">Contactez-nous </w:t>
      </w:r>
    </w:p>
    <w:p w14:paraId="35D6BDCC" w14:textId="0D54CD17" w:rsidR="00F3053D" w:rsidRPr="00485A72" w:rsidRDefault="00361A13" w:rsidP="00361A13">
      <w:pPr>
        <w:spacing w:after="0" w:line="276" w:lineRule="auto"/>
        <w:jc w:val="both"/>
        <w:rPr>
          <w:rFonts w:ascii="Calibri" w:hAnsi="Calibri" w:cs="Calibri"/>
          <w:sz w:val="26"/>
          <w:szCs w:val="26"/>
          <w:lang w:val="fr-CA"/>
        </w:rPr>
      </w:pPr>
      <w:r>
        <w:rPr>
          <w:rFonts w:ascii="Calibri" w:hAnsi="Calibri" w:cs="Calibri"/>
          <w:sz w:val="26"/>
          <w:szCs w:val="26"/>
          <w:lang w:val="fr-FR"/>
        </w:rPr>
        <w:lastRenderedPageBreak/>
        <w:t>Le Directeur Général</w:t>
      </w:r>
      <w:r>
        <w:rPr>
          <w:rFonts w:ascii="Calibri" w:hAnsi="Calibri" w:cs="Calibri"/>
          <w:sz w:val="26"/>
          <w:szCs w:val="26"/>
          <w:lang w:val="fr-FR"/>
        </w:rPr>
        <w:tab/>
      </w:r>
      <w:r>
        <w:rPr>
          <w:rFonts w:ascii="Calibri" w:hAnsi="Calibri" w:cs="Calibri"/>
          <w:sz w:val="26"/>
          <w:szCs w:val="26"/>
          <w:lang w:val="fr-FR"/>
        </w:rPr>
        <w:tab/>
      </w:r>
      <w:r>
        <w:rPr>
          <w:rFonts w:ascii="Calibri" w:hAnsi="Calibri" w:cs="Calibri"/>
          <w:sz w:val="26"/>
          <w:szCs w:val="26"/>
          <w:lang w:val="fr-FR"/>
        </w:rPr>
        <w:tab/>
      </w:r>
      <w:r>
        <w:rPr>
          <w:rFonts w:ascii="Calibri" w:hAnsi="Calibri" w:cs="Calibri"/>
          <w:sz w:val="26"/>
          <w:szCs w:val="26"/>
          <w:lang w:val="fr-FR"/>
        </w:rPr>
        <w:tab/>
      </w:r>
      <w:r>
        <w:rPr>
          <w:rFonts w:ascii="Calibri" w:hAnsi="Calibri" w:cs="Calibri"/>
          <w:sz w:val="26"/>
          <w:szCs w:val="26"/>
          <w:lang w:val="fr-FR"/>
        </w:rPr>
        <w:tab/>
      </w:r>
    </w:p>
    <w:p w14:paraId="49B08CEE" w14:textId="2418B791" w:rsidR="00361A13" w:rsidRPr="00485A72" w:rsidRDefault="00361A13" w:rsidP="00361A13">
      <w:pPr>
        <w:spacing w:after="0" w:line="276" w:lineRule="auto"/>
        <w:jc w:val="both"/>
        <w:rPr>
          <w:rFonts w:ascii="Calibri" w:hAnsi="Calibri" w:cs="Calibri"/>
          <w:sz w:val="26"/>
          <w:szCs w:val="26"/>
          <w:lang w:val="fr-CA"/>
        </w:rPr>
      </w:pPr>
      <w:r>
        <w:rPr>
          <w:rFonts w:ascii="Calibri" w:hAnsi="Calibri" w:cs="Calibri"/>
          <w:sz w:val="26"/>
          <w:szCs w:val="26"/>
          <w:lang w:val="fr-FR"/>
        </w:rPr>
        <w:t>Union Mondiale des Aveugles (UMA)</w:t>
      </w:r>
    </w:p>
    <w:p w14:paraId="5CECAE52" w14:textId="11F9ACC0" w:rsidR="00617BB2" w:rsidRPr="00485A72" w:rsidRDefault="00361A13" w:rsidP="003E36B5">
      <w:pPr>
        <w:spacing w:after="0" w:line="276" w:lineRule="auto"/>
        <w:jc w:val="both"/>
        <w:rPr>
          <w:sz w:val="26"/>
          <w:szCs w:val="26"/>
          <w:lang w:val="it-IT"/>
        </w:rPr>
      </w:pPr>
      <w:r w:rsidRPr="00485A72">
        <w:rPr>
          <w:lang w:val="it-IT"/>
        </w:rPr>
        <w:t xml:space="preserve">E-mail : </w:t>
      </w:r>
      <w:hyperlink r:id="rId11" w:history="1">
        <w:r w:rsidRPr="00485A72">
          <w:rPr>
            <w:rStyle w:val="Hyperlink"/>
            <w:sz w:val="26"/>
            <w:szCs w:val="26"/>
            <w:lang w:val="it-IT"/>
          </w:rPr>
          <w:t>info@wbu.ngo</w:t>
        </w:r>
      </w:hyperlink>
    </w:p>
    <w:p w14:paraId="5C001CD7" w14:textId="4E78E576" w:rsidR="00F05EC4" w:rsidRPr="00485A72" w:rsidRDefault="000C5A26" w:rsidP="003E36B5">
      <w:pPr>
        <w:spacing w:after="0" w:line="276" w:lineRule="auto"/>
        <w:jc w:val="both"/>
        <w:rPr>
          <w:sz w:val="26"/>
          <w:szCs w:val="26"/>
          <w:lang w:val="it-IT"/>
        </w:rPr>
      </w:pPr>
      <w:r w:rsidRPr="00485A72">
        <w:rPr>
          <w:sz w:val="26"/>
          <w:szCs w:val="26"/>
          <w:lang w:val="it-IT"/>
        </w:rPr>
        <w:t xml:space="preserve">URL : </w:t>
      </w:r>
      <w:hyperlink r:id="rId12" w:history="1">
        <w:r w:rsidRPr="00485A72">
          <w:rPr>
            <w:rStyle w:val="Hyperlink"/>
            <w:sz w:val="26"/>
            <w:szCs w:val="26"/>
            <w:lang w:val="it-IT"/>
          </w:rPr>
          <w:t>https://www.worldblindunion.org</w:t>
        </w:r>
      </w:hyperlink>
      <w:r w:rsidRPr="00485A72">
        <w:rPr>
          <w:sz w:val="26"/>
          <w:szCs w:val="26"/>
          <w:lang w:val="it-IT"/>
        </w:rPr>
        <w:t xml:space="preserve"> </w:t>
      </w:r>
    </w:p>
    <w:p w14:paraId="64A0C77E" w14:textId="4CC19134" w:rsidR="00F05EC4" w:rsidRPr="00485A72" w:rsidRDefault="00F05EC4" w:rsidP="003E36B5">
      <w:pPr>
        <w:spacing w:after="0" w:line="276" w:lineRule="auto"/>
        <w:jc w:val="both"/>
        <w:rPr>
          <w:sz w:val="26"/>
          <w:szCs w:val="26"/>
          <w:lang w:val="fr-CA"/>
        </w:rPr>
      </w:pPr>
      <w:r>
        <w:rPr>
          <w:sz w:val="26"/>
          <w:szCs w:val="26"/>
          <w:lang w:val="fr-FR"/>
        </w:rPr>
        <w:t>Le Directeur Général</w:t>
      </w:r>
    </w:p>
    <w:p w14:paraId="60555E95" w14:textId="330B9F60" w:rsidR="00F05EC4" w:rsidRPr="00485A72" w:rsidRDefault="00F05EC4" w:rsidP="003E36B5">
      <w:pPr>
        <w:spacing w:after="0" w:line="276" w:lineRule="auto"/>
        <w:jc w:val="both"/>
        <w:rPr>
          <w:sz w:val="26"/>
          <w:szCs w:val="26"/>
          <w:lang w:val="fr-CA"/>
        </w:rPr>
      </w:pPr>
      <w:r>
        <w:rPr>
          <w:sz w:val="26"/>
          <w:szCs w:val="26"/>
          <w:lang w:val="fr-FR"/>
        </w:rPr>
        <w:t>Conseil International pour l'Éducation des personnes ayant un handicap visuel (International Council for Education of People with Visual Impairment, ICEVI)</w:t>
      </w:r>
    </w:p>
    <w:p w14:paraId="3E7DB870" w14:textId="266C00ED" w:rsidR="00F05EC4" w:rsidRPr="00485A72" w:rsidRDefault="00F05EC4" w:rsidP="003E36B5">
      <w:pPr>
        <w:spacing w:after="0" w:line="276" w:lineRule="auto"/>
        <w:jc w:val="both"/>
        <w:rPr>
          <w:sz w:val="26"/>
          <w:szCs w:val="26"/>
          <w:lang w:val="it-IT"/>
        </w:rPr>
      </w:pPr>
      <w:r w:rsidRPr="00485A72">
        <w:rPr>
          <w:lang w:val="it-IT"/>
        </w:rPr>
        <w:t xml:space="preserve">E-mail : </w:t>
      </w:r>
      <w:hyperlink r:id="rId13" w:history="1">
        <w:r w:rsidRPr="00485A72">
          <w:rPr>
            <w:rStyle w:val="Hyperlink"/>
            <w:sz w:val="26"/>
            <w:szCs w:val="26"/>
            <w:lang w:val="it-IT"/>
          </w:rPr>
          <w:t>oficevi@gmail.com</w:t>
        </w:r>
      </w:hyperlink>
    </w:p>
    <w:p w14:paraId="71277EC5" w14:textId="4E289D43" w:rsidR="00F05EC4" w:rsidRPr="00485A72" w:rsidRDefault="00F05EC4" w:rsidP="003E36B5">
      <w:pPr>
        <w:spacing w:after="0" w:line="276" w:lineRule="auto"/>
        <w:jc w:val="both"/>
        <w:rPr>
          <w:sz w:val="26"/>
          <w:szCs w:val="26"/>
          <w:lang w:val="it-IT"/>
        </w:rPr>
      </w:pPr>
      <w:r w:rsidRPr="00485A72">
        <w:rPr>
          <w:sz w:val="26"/>
          <w:szCs w:val="26"/>
          <w:lang w:val="it-IT"/>
        </w:rPr>
        <w:t xml:space="preserve">URL : </w:t>
      </w:r>
      <w:hyperlink r:id="rId14" w:history="1">
        <w:r w:rsidRPr="00485A72">
          <w:rPr>
            <w:rStyle w:val="Hyperlink"/>
            <w:sz w:val="26"/>
            <w:szCs w:val="26"/>
            <w:lang w:val="it-IT"/>
          </w:rPr>
          <w:t>https://www.icevi.org</w:t>
        </w:r>
      </w:hyperlink>
      <w:r w:rsidRPr="00485A72">
        <w:rPr>
          <w:sz w:val="26"/>
          <w:szCs w:val="26"/>
          <w:lang w:val="it-IT"/>
        </w:rPr>
        <w:t xml:space="preserve"> </w:t>
      </w:r>
    </w:p>
    <w:sectPr w:rsidR="00F05EC4" w:rsidRPr="00485A72" w:rsidSect="00A175FB">
      <w:headerReference w:type="default" r:id="rId15"/>
      <w:footerReference w:type="default" r:id="rId16"/>
      <w:pgSz w:w="12240" w:h="15840"/>
      <w:pgMar w:top="1350" w:right="1170" w:bottom="810" w:left="1260" w:header="720" w:footer="5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5BE6" w14:textId="77777777" w:rsidR="00F13550" w:rsidRDefault="00F13550" w:rsidP="00A73D51">
      <w:pPr>
        <w:spacing w:after="0" w:line="240" w:lineRule="auto"/>
      </w:pPr>
      <w:r>
        <w:separator/>
      </w:r>
    </w:p>
  </w:endnote>
  <w:endnote w:type="continuationSeparator" w:id="0">
    <w:p w14:paraId="6DE133A8" w14:textId="77777777" w:rsidR="00F13550" w:rsidRDefault="00F13550" w:rsidP="00A7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450754"/>
      <w:docPartObj>
        <w:docPartGallery w:val="Page Numbers (Bottom of Page)"/>
        <w:docPartUnique/>
      </w:docPartObj>
    </w:sdtPr>
    <w:sdtContent>
      <w:sdt>
        <w:sdtPr>
          <w:id w:val="-1705238520"/>
          <w:docPartObj>
            <w:docPartGallery w:val="Page Numbers (Top of Page)"/>
            <w:docPartUnique/>
          </w:docPartObj>
        </w:sdtPr>
        <w:sdtContent>
          <w:p w14:paraId="4F13DF39" w14:textId="20BD3B54" w:rsidR="00A73D51" w:rsidRDefault="00A73D51" w:rsidP="00A73D51">
            <w:pPr>
              <w:pStyle w:val="Footer"/>
              <w:jc w:val="center"/>
            </w:pPr>
            <w:r>
              <w:rPr>
                <w:lang w:val="fr-FR"/>
              </w:rPr>
              <w:t xml:space="preserve">Page </w:t>
            </w:r>
            <w:r>
              <w:rPr>
                <w:sz w:val="24"/>
                <w:szCs w:val="24"/>
                <w:lang w:val="fr-FR"/>
              </w:rPr>
              <w:fldChar w:fldCharType="begin"/>
            </w:r>
            <w:r>
              <w:rPr>
                <w:lang w:val="fr-FR"/>
              </w:rPr>
              <w:instrText xml:space="preserve"> PAGE </w:instrText>
            </w:r>
            <w:r>
              <w:rPr>
                <w:sz w:val="24"/>
                <w:szCs w:val="24"/>
                <w:lang w:val="fr-FR"/>
              </w:rPr>
              <w:fldChar w:fldCharType="separate"/>
            </w:r>
            <w:r>
              <w:rPr>
                <w:b/>
                <w:bCs/>
                <w:noProof/>
                <w:lang w:val="fr-FR"/>
              </w:rPr>
              <w:t>2</w:t>
            </w:r>
            <w:r>
              <w:rPr>
                <w:sz w:val="24"/>
                <w:szCs w:val="24"/>
                <w:lang w:val="fr-FR"/>
              </w:rPr>
              <w:fldChar w:fldCharType="end"/>
            </w:r>
            <w:r>
              <w:rPr>
                <w:lang w:val="fr-FR"/>
              </w:rPr>
              <w:t xml:space="preserve"> sur </w:t>
            </w:r>
            <w:r>
              <w:rPr>
                <w:sz w:val="24"/>
                <w:szCs w:val="24"/>
                <w:lang w:val="fr-FR"/>
              </w:rPr>
              <w:fldChar w:fldCharType="begin"/>
            </w:r>
            <w:r>
              <w:rPr>
                <w:lang w:val="fr-FR"/>
              </w:rPr>
              <w:instrText xml:space="preserve"> NUMPAGES  </w:instrText>
            </w:r>
            <w:r>
              <w:rPr>
                <w:sz w:val="24"/>
                <w:szCs w:val="24"/>
                <w:lang w:val="fr-FR"/>
              </w:rPr>
              <w:fldChar w:fldCharType="separate"/>
            </w:r>
            <w:r>
              <w:rPr>
                <w:b/>
                <w:bCs/>
                <w:noProof/>
                <w:lang w:val="fr-FR"/>
              </w:rPr>
              <w:t>2</w:t>
            </w:r>
            <w:r>
              <w:rPr>
                <w:sz w:val="24"/>
                <w:szCs w:val="24"/>
                <w:lang w:val="fr-FR"/>
              </w:rPr>
              <w:fldChar w:fldCharType="end"/>
            </w:r>
          </w:p>
        </w:sdtContent>
      </w:sdt>
    </w:sdtContent>
  </w:sdt>
  <w:p w14:paraId="45BC646E" w14:textId="77777777" w:rsidR="00A73D51" w:rsidRDefault="00A7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CB3A" w14:textId="77777777" w:rsidR="00F13550" w:rsidRDefault="00F13550" w:rsidP="00A73D51">
      <w:pPr>
        <w:spacing w:after="0" w:line="240" w:lineRule="auto"/>
      </w:pPr>
      <w:r>
        <w:separator/>
      </w:r>
    </w:p>
  </w:footnote>
  <w:footnote w:type="continuationSeparator" w:id="0">
    <w:p w14:paraId="16254EA8" w14:textId="77777777" w:rsidR="00F13550" w:rsidRDefault="00F13550" w:rsidP="00A73D51">
      <w:pPr>
        <w:spacing w:after="0" w:line="240" w:lineRule="auto"/>
      </w:pPr>
      <w:r>
        <w:continuationSeparator/>
      </w:r>
    </w:p>
  </w:footnote>
  <w:footnote w:id="1">
    <w:p w14:paraId="27416BC4" w14:textId="2CF733EA" w:rsidR="002B1417" w:rsidRDefault="002B1417">
      <w:pPr>
        <w:pStyle w:val="FootnoteText"/>
      </w:pPr>
      <w:r>
        <w:rPr>
          <w:rStyle w:val="FootnoteReference"/>
          <w:lang w:val="fr-FR"/>
        </w:rPr>
        <w:footnoteRef/>
      </w:r>
      <w:r>
        <w:rPr>
          <w:lang w:val="fr-FR"/>
        </w:rPr>
        <w:t xml:space="preserve"> Voir, par exemple, une étude réalisée en 2021 par Voice of Vision Impairment (VVI), en Irlande, qui a révélé que, lors de la pandémie de COVID-19, de nombreux enseignants n'avaient pas pris en compte les besoins d'accès uniques de leurs étudiants aveugles ou malvoyants, entraînant ainsi l’échec des interventions d'apprentissage à distance pour de nombreux apprenants aveugles ou malvoyants. </w:t>
      </w:r>
      <w:r w:rsidRPr="00485A72">
        <w:t>Entre autres études, citons : S.M. Correa-Torres &amp; A Muthukumaran, ‘Impact of COVID-19 on services for students with visual impairment: Experiences and lessons from the field’ (2022) ; ainsi que T Suraweera, R Jayathilaka et T Thelijjagoda, ‘A nightmare in a ‘darker world’: persons with blindness under the Sri Lanka’s COVID-19 shutdown’ (2021)</w:t>
      </w:r>
    </w:p>
  </w:footnote>
  <w:footnote w:id="2">
    <w:p w14:paraId="4450551B" w14:textId="3F0B68E4" w:rsidR="00BC34F6" w:rsidRPr="00485A72" w:rsidRDefault="00BC34F6">
      <w:pPr>
        <w:pStyle w:val="FootnoteText"/>
        <w:rPr>
          <w:lang w:val="fr-CA"/>
        </w:rPr>
      </w:pPr>
      <w:r>
        <w:rPr>
          <w:rStyle w:val="FootnoteReference"/>
          <w:lang w:val="fr-FR"/>
        </w:rPr>
        <w:footnoteRef/>
      </w:r>
      <w:r>
        <w:rPr>
          <w:lang w:val="fr-FR"/>
        </w:rPr>
        <w:t xml:space="preserve"> UNICEF,</w:t>
      </w:r>
      <w:r>
        <w:rPr>
          <w:i/>
          <w:iCs/>
          <w:lang w:val="fr-FR"/>
        </w:rPr>
        <w:t xml:space="preserve"> Vus, pris en compte et inclus : Utiliser les données pour mettre en lumière le bien-être des enfants handicapés, </w:t>
      </w:r>
      <w:r>
        <w:rPr>
          <w:lang w:val="fr-FR"/>
        </w:rPr>
        <w:t>2021.</w:t>
      </w:r>
    </w:p>
  </w:footnote>
  <w:footnote w:id="3">
    <w:p w14:paraId="5C000FCF" w14:textId="6A411C93" w:rsidR="00545434" w:rsidRPr="00485A72" w:rsidRDefault="00545434">
      <w:pPr>
        <w:pStyle w:val="FootnoteText"/>
        <w:rPr>
          <w:lang w:val="fr-CA"/>
        </w:rPr>
      </w:pPr>
      <w:r>
        <w:rPr>
          <w:rStyle w:val="FootnoteReference"/>
          <w:lang w:val="fr-FR"/>
        </w:rPr>
        <w:footnoteRef/>
      </w:r>
      <w:r>
        <w:rPr>
          <w:lang w:val="fr-FR"/>
        </w:rPr>
        <w:t xml:space="preserve"> Le Comité des Nations Unies des droits des personnes handicapées (Comité CDPH) souligne, dans </w:t>
      </w:r>
      <w:hyperlink r:id="rId1" w:history="1">
        <w:r>
          <w:rPr>
            <w:rStyle w:val="Hyperlink"/>
            <w:u w:val="none"/>
            <w:lang w:val="fr-FR"/>
          </w:rPr>
          <w:t>l’</w:t>
        </w:r>
        <w:r>
          <w:rPr>
            <w:rStyle w:val="Hyperlink"/>
            <w:lang w:val="fr-FR"/>
          </w:rPr>
          <w:t>Observation générale n° 4 (2016) sur le droit à une éducation inclusive</w:t>
        </w:r>
      </w:hyperlink>
      <w:r>
        <w:rPr>
          <w:lang w:val="fr-FR"/>
        </w:rPr>
        <w:t>, que l'éducation inclusive est un moyen de concrétiser d'autres droits humains.</w:t>
      </w:r>
    </w:p>
  </w:footnote>
  <w:footnote w:id="4">
    <w:p w14:paraId="6CBA374D" w14:textId="121E1F87" w:rsidR="00B96463" w:rsidRPr="00485A72" w:rsidRDefault="00B96463" w:rsidP="00DB55E2">
      <w:pPr>
        <w:pStyle w:val="FootnoteText"/>
        <w:jc w:val="both"/>
        <w:rPr>
          <w:lang w:val="fr-CA"/>
        </w:rPr>
      </w:pPr>
      <w:r>
        <w:rPr>
          <w:rStyle w:val="FootnoteReference"/>
          <w:lang w:val="fr-FR"/>
        </w:rPr>
        <w:footnoteRef/>
      </w:r>
      <w:r>
        <w:rPr>
          <w:lang w:val="fr-FR"/>
        </w:rPr>
        <w:t xml:space="preserve"> Réseau inter-agences pour l'éducation en situation d'urgence (Inter-agency Network for Education in Emergencies, INEE), </w:t>
      </w:r>
      <w:hyperlink r:id="rId2" w:anchor="event-universal-declaration-of-human-rights" w:history="1">
        <w:r>
          <w:rPr>
            <w:rStyle w:val="Hyperlink"/>
            <w:lang w:val="fr-FR"/>
          </w:rPr>
          <w:t xml:space="preserve">https//www.inee.org/education-in-emergencies#event-universal-declaration-of-human-rights </w:t>
        </w:r>
      </w:hyperlink>
      <w:r>
        <w:rPr>
          <w:lang w:val="fr-FR"/>
        </w:rPr>
        <w:t xml:space="preserve"> </w:t>
      </w:r>
    </w:p>
  </w:footnote>
  <w:footnote w:id="5">
    <w:p w14:paraId="2550ACFE" w14:textId="11EB8822" w:rsidR="00B96463" w:rsidRDefault="00B96463" w:rsidP="00DB55E2">
      <w:pPr>
        <w:pStyle w:val="FootnoteText"/>
        <w:jc w:val="both"/>
      </w:pPr>
      <w:r>
        <w:rPr>
          <w:rStyle w:val="FootnoteReference"/>
          <w:lang w:val="fr-FR"/>
        </w:rPr>
        <w:footnoteRef/>
      </w:r>
      <w:r w:rsidRPr="00485A72">
        <w:t xml:space="preserve"> UNICEF, </w:t>
      </w:r>
      <w:hyperlink r:id="rId3" w:history="1">
        <w:r w:rsidRPr="00485A72">
          <w:rPr>
            <w:rStyle w:val="Hyperlink"/>
          </w:rPr>
          <w:t>https://www.unicef.org/education/emergencies</w:t>
        </w:r>
      </w:hyperlink>
      <w:r w:rsidRPr="00485A72">
        <w:t xml:space="preserve"> </w:t>
      </w:r>
    </w:p>
  </w:footnote>
  <w:footnote w:id="6">
    <w:p w14:paraId="239E7465" w14:textId="751ED7C6" w:rsidR="00E76553" w:rsidRPr="00485A72" w:rsidRDefault="00E76553" w:rsidP="00EB62A9">
      <w:pPr>
        <w:pStyle w:val="FootnoteText"/>
        <w:rPr>
          <w:lang w:val="fr-CA"/>
        </w:rPr>
      </w:pPr>
      <w:r>
        <w:rPr>
          <w:rStyle w:val="FootnoteReference"/>
          <w:lang w:val="fr-FR"/>
        </w:rPr>
        <w:footnoteRef/>
      </w:r>
      <w:r>
        <w:rPr>
          <w:lang w:val="fr-FR"/>
        </w:rPr>
        <w:t xml:space="preserve"> Comité CDPH, Observation générale n° 4, au paragraphe 14.</w:t>
      </w:r>
    </w:p>
  </w:footnote>
  <w:footnote w:id="7">
    <w:p w14:paraId="22A7D1BA" w14:textId="0DAAB5F0" w:rsidR="00DD74B3" w:rsidRPr="00485A72" w:rsidRDefault="00DD74B3" w:rsidP="00EB62A9">
      <w:pPr>
        <w:pStyle w:val="FootnoteText"/>
        <w:rPr>
          <w:lang w:val="fr-CA"/>
        </w:rPr>
      </w:pPr>
      <w:r>
        <w:rPr>
          <w:rStyle w:val="FootnoteReference"/>
          <w:lang w:val="fr-FR"/>
        </w:rPr>
        <w:footnoteRef/>
      </w:r>
      <w:r>
        <w:rPr>
          <w:lang w:val="fr-FR"/>
        </w:rPr>
        <w:t xml:space="preserve"> HCR, </w:t>
      </w:r>
      <w:hyperlink r:id="rId4" w:history="1">
        <w:r>
          <w:rPr>
            <w:rStyle w:val="Hyperlink"/>
            <w:lang w:val="fr-FR"/>
          </w:rPr>
          <w:t>Rapport sur l'éducation 2021 : Garder le cap : les défis de l’éducation des réfugiés</w:t>
        </w:r>
      </w:hyperlink>
    </w:p>
  </w:footnote>
  <w:footnote w:id="8">
    <w:p w14:paraId="45D3B657" w14:textId="49C23ED0" w:rsidR="00404C3D" w:rsidRPr="00485A72" w:rsidRDefault="00404C3D" w:rsidP="00EB62A9">
      <w:pPr>
        <w:pStyle w:val="FootnoteText"/>
        <w:rPr>
          <w:lang w:val="fr-CA"/>
        </w:rPr>
      </w:pPr>
      <w:r>
        <w:rPr>
          <w:rStyle w:val="FootnoteReference"/>
          <w:lang w:val="fr-FR"/>
        </w:rPr>
        <w:footnoteRef/>
      </w:r>
      <w:r>
        <w:rPr>
          <w:lang w:val="fr-FR"/>
        </w:rPr>
        <w:t xml:space="preserve"> Commission des femmes pour les réfugiés (2022) </w:t>
      </w:r>
      <w:hyperlink r:id="rId5" w:history="1">
        <w:r>
          <w:rPr>
            <w:rStyle w:val="Hyperlink"/>
            <w:lang w:val="fr-FR"/>
          </w:rPr>
          <w:t>https://www.womenrefugeecommission.org/focus-areas-gender-social-inclusion/disability-inclusion</w:t>
        </w:r>
      </w:hyperlink>
      <w:r>
        <w:rPr>
          <w:lang w:val="fr-FR"/>
        </w:rPr>
        <w:t xml:space="preserve"> </w:t>
      </w:r>
    </w:p>
  </w:footnote>
  <w:footnote w:id="9">
    <w:p w14:paraId="2D552607" w14:textId="51F8C726" w:rsidR="00392A3B" w:rsidRPr="00485A72" w:rsidRDefault="00392A3B" w:rsidP="00EB62A9">
      <w:pPr>
        <w:pStyle w:val="FootnoteText"/>
        <w:rPr>
          <w:lang w:val="fr-CA"/>
        </w:rPr>
      </w:pPr>
      <w:r>
        <w:rPr>
          <w:rStyle w:val="FootnoteReference"/>
          <w:lang w:val="fr-FR"/>
        </w:rPr>
        <w:footnoteRef/>
      </w:r>
      <w:r>
        <w:rPr>
          <w:lang w:val="fr-FR"/>
        </w:rPr>
        <w:t xml:space="preserve"> UNICEF, Enfants en situation de déplacement (juin 2023), </w:t>
      </w:r>
      <w:hyperlink r:id="rId6" w:history="1">
        <w:r>
          <w:rPr>
            <w:rStyle w:val="Hyperlink"/>
            <w:lang w:val="fr-FR"/>
          </w:rPr>
          <w:t>https://www.data.unicef.org/topic/child-migration-and-displacement/displacement/</w:t>
        </w:r>
      </w:hyperlink>
      <w:r>
        <w:rPr>
          <w:lang w:val="fr-FR"/>
        </w:rPr>
        <w:t xml:space="preserve"> </w:t>
      </w:r>
    </w:p>
  </w:footnote>
  <w:footnote w:id="10">
    <w:p w14:paraId="75000B81" w14:textId="42F244E0" w:rsidR="009C58E9" w:rsidRPr="00485A72" w:rsidRDefault="009C58E9">
      <w:pPr>
        <w:pStyle w:val="FootnoteText"/>
        <w:rPr>
          <w:lang w:val="fr-CA"/>
        </w:rPr>
      </w:pPr>
      <w:r>
        <w:rPr>
          <w:rStyle w:val="FootnoteReference"/>
          <w:lang w:val="fr-FR"/>
        </w:rPr>
        <w:footnoteRef/>
      </w:r>
      <w:r>
        <w:rPr>
          <w:lang w:val="fr-FR"/>
        </w:rPr>
        <w:t xml:space="preserve"> UNICEF,</w:t>
      </w:r>
      <w:r>
        <w:rPr>
          <w:i/>
          <w:iCs/>
          <w:lang w:val="fr-FR"/>
        </w:rPr>
        <w:t xml:space="preserve"> Vus, pris en compte et inclus </w:t>
      </w:r>
      <w:r>
        <w:rPr>
          <w:lang w:val="fr-FR"/>
        </w:rPr>
        <w:t>(note 2 ci-dessus)</w:t>
      </w:r>
    </w:p>
  </w:footnote>
  <w:footnote w:id="11">
    <w:p w14:paraId="15B605B4" w14:textId="4A2545D6" w:rsidR="004F18FA" w:rsidRPr="004F18FA" w:rsidRDefault="004F18FA" w:rsidP="00EB62A9">
      <w:pPr>
        <w:pStyle w:val="FootnoteText"/>
      </w:pPr>
      <w:r>
        <w:rPr>
          <w:rStyle w:val="FootnoteReference"/>
          <w:lang w:val="fr-FR"/>
        </w:rPr>
        <w:footnoteRef/>
      </w:r>
      <w:r>
        <w:rPr>
          <w:lang w:val="fr-FR"/>
        </w:rPr>
        <w:t xml:space="preserve"> Thomas M. Crea </w:t>
      </w:r>
      <w:r>
        <w:rPr>
          <w:i/>
          <w:iCs/>
          <w:lang w:val="fr-FR"/>
        </w:rPr>
        <w:t xml:space="preserve">et. al., </w:t>
      </w:r>
      <w:r>
        <w:rPr>
          <w:lang w:val="fr-FR"/>
        </w:rPr>
        <w:t xml:space="preserve">L’éducation inclusive dans un camp de réfugiés pour les enfants handicapés : Quel est le lien entre le cadre scolaire et le fonctionnement comportemental des enfants ? (2022) </w:t>
      </w:r>
      <w:hyperlink r:id="rId7" w:history="1">
        <w:r>
          <w:rPr>
            <w:rStyle w:val="Hyperlink"/>
            <w:lang w:val="fr-FR"/>
          </w:rPr>
          <w:t>https://www.conflictandhealth.biomedcentral.com/article/10.1186/s13031-022-00486-6</w:t>
        </w:r>
      </w:hyperlink>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D81D" w14:textId="1ABBC3E4" w:rsidR="00A175FB" w:rsidRPr="00A175FB" w:rsidRDefault="00A175FB">
    <w:pPr>
      <w:pStyle w:val="Header"/>
      <w:rPr>
        <w:i/>
        <w:iCs/>
      </w:rPr>
    </w:pPr>
    <w:r w:rsidRPr="00485A72">
      <w:rPr>
        <w:i/>
        <w:iCs/>
      </w:rPr>
      <w:t>WBU/ICEVI Position statement _ education in situations of emergency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590C"/>
    <w:multiLevelType w:val="hybridMultilevel"/>
    <w:tmpl w:val="C2AE28BE"/>
    <w:lvl w:ilvl="0" w:tplc="0409000F">
      <w:start w:val="1"/>
      <w:numFmt w:val="decimal"/>
      <w:lvlText w:val="%1."/>
      <w:lvlJc w:val="left"/>
      <w:pPr>
        <w:ind w:left="777" w:hanging="360"/>
      </w:pPr>
    </w:lvl>
    <w:lvl w:ilvl="1" w:tplc="04090019">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7C3251E0"/>
    <w:multiLevelType w:val="hybridMultilevel"/>
    <w:tmpl w:val="AB94EDC0"/>
    <w:lvl w:ilvl="0" w:tplc="72407DEA">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3799954">
    <w:abstractNumId w:val="1"/>
  </w:num>
  <w:num w:numId="2" w16cid:durableId="195566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6"/>
    <w:rsid w:val="00023B5E"/>
    <w:rsid w:val="0003490A"/>
    <w:rsid w:val="00090E4B"/>
    <w:rsid w:val="00092C96"/>
    <w:rsid w:val="00093D9F"/>
    <w:rsid w:val="000A26D0"/>
    <w:rsid w:val="000C5A26"/>
    <w:rsid w:val="000D309D"/>
    <w:rsid w:val="000E74B2"/>
    <w:rsid w:val="000E76AB"/>
    <w:rsid w:val="001049BB"/>
    <w:rsid w:val="00111D71"/>
    <w:rsid w:val="0011392A"/>
    <w:rsid w:val="001313DC"/>
    <w:rsid w:val="00146B41"/>
    <w:rsid w:val="00170785"/>
    <w:rsid w:val="001A1A50"/>
    <w:rsid w:val="001C6225"/>
    <w:rsid w:val="001F0AD3"/>
    <w:rsid w:val="0020608D"/>
    <w:rsid w:val="00213C47"/>
    <w:rsid w:val="002420C4"/>
    <w:rsid w:val="00244032"/>
    <w:rsid w:val="002670AE"/>
    <w:rsid w:val="002B1417"/>
    <w:rsid w:val="002D00ED"/>
    <w:rsid w:val="002D7F58"/>
    <w:rsid w:val="002E47A8"/>
    <w:rsid w:val="002E7BF6"/>
    <w:rsid w:val="0030576B"/>
    <w:rsid w:val="003141B7"/>
    <w:rsid w:val="003145F6"/>
    <w:rsid w:val="00316D1C"/>
    <w:rsid w:val="003413C3"/>
    <w:rsid w:val="003421C7"/>
    <w:rsid w:val="0035295F"/>
    <w:rsid w:val="00361A13"/>
    <w:rsid w:val="00392A3B"/>
    <w:rsid w:val="00393C80"/>
    <w:rsid w:val="003A0EA9"/>
    <w:rsid w:val="003E36B5"/>
    <w:rsid w:val="00404C3D"/>
    <w:rsid w:val="00405B13"/>
    <w:rsid w:val="00407F9A"/>
    <w:rsid w:val="00452DF2"/>
    <w:rsid w:val="0047690F"/>
    <w:rsid w:val="00476B7B"/>
    <w:rsid w:val="00485A72"/>
    <w:rsid w:val="00486339"/>
    <w:rsid w:val="004F18FA"/>
    <w:rsid w:val="0051533D"/>
    <w:rsid w:val="00545434"/>
    <w:rsid w:val="00551CEB"/>
    <w:rsid w:val="00561F40"/>
    <w:rsid w:val="005744EA"/>
    <w:rsid w:val="00584AFD"/>
    <w:rsid w:val="00593E2D"/>
    <w:rsid w:val="0059456F"/>
    <w:rsid w:val="005A30A5"/>
    <w:rsid w:val="005D2F27"/>
    <w:rsid w:val="005E0F92"/>
    <w:rsid w:val="00600500"/>
    <w:rsid w:val="00617BB2"/>
    <w:rsid w:val="006664F3"/>
    <w:rsid w:val="006723DE"/>
    <w:rsid w:val="00693839"/>
    <w:rsid w:val="006940A1"/>
    <w:rsid w:val="006B4928"/>
    <w:rsid w:val="006C3217"/>
    <w:rsid w:val="006C9916"/>
    <w:rsid w:val="006E538D"/>
    <w:rsid w:val="007115F7"/>
    <w:rsid w:val="007150C6"/>
    <w:rsid w:val="00730BC9"/>
    <w:rsid w:val="00741E61"/>
    <w:rsid w:val="00742E4E"/>
    <w:rsid w:val="00744E70"/>
    <w:rsid w:val="007473CD"/>
    <w:rsid w:val="00753D10"/>
    <w:rsid w:val="007663A7"/>
    <w:rsid w:val="00792952"/>
    <w:rsid w:val="00805F5D"/>
    <w:rsid w:val="00811923"/>
    <w:rsid w:val="00813819"/>
    <w:rsid w:val="00835AE6"/>
    <w:rsid w:val="00846EFA"/>
    <w:rsid w:val="008B4476"/>
    <w:rsid w:val="008F06A7"/>
    <w:rsid w:val="008F7D2F"/>
    <w:rsid w:val="009424C9"/>
    <w:rsid w:val="00952ADD"/>
    <w:rsid w:val="00975E3A"/>
    <w:rsid w:val="009B58F3"/>
    <w:rsid w:val="009C58E9"/>
    <w:rsid w:val="009E245F"/>
    <w:rsid w:val="009E2CF9"/>
    <w:rsid w:val="00A175FB"/>
    <w:rsid w:val="00A27CFD"/>
    <w:rsid w:val="00A6678C"/>
    <w:rsid w:val="00A73D51"/>
    <w:rsid w:val="00A74DD1"/>
    <w:rsid w:val="00A8212B"/>
    <w:rsid w:val="00A84DFC"/>
    <w:rsid w:val="00AC2BE0"/>
    <w:rsid w:val="00AF6E8E"/>
    <w:rsid w:val="00B211E8"/>
    <w:rsid w:val="00B237A7"/>
    <w:rsid w:val="00B25E38"/>
    <w:rsid w:val="00B262B7"/>
    <w:rsid w:val="00B50C7A"/>
    <w:rsid w:val="00B91CA3"/>
    <w:rsid w:val="00B9318F"/>
    <w:rsid w:val="00B96463"/>
    <w:rsid w:val="00B97EB1"/>
    <w:rsid w:val="00BC2F4B"/>
    <w:rsid w:val="00BC34F6"/>
    <w:rsid w:val="00BD1D32"/>
    <w:rsid w:val="00BF7ECD"/>
    <w:rsid w:val="00BF7F6C"/>
    <w:rsid w:val="00C12B15"/>
    <w:rsid w:val="00C32E6F"/>
    <w:rsid w:val="00C619AC"/>
    <w:rsid w:val="00C62CC5"/>
    <w:rsid w:val="00C654F8"/>
    <w:rsid w:val="00C8228E"/>
    <w:rsid w:val="00C824C4"/>
    <w:rsid w:val="00C90FC2"/>
    <w:rsid w:val="00C93F8D"/>
    <w:rsid w:val="00CB49EE"/>
    <w:rsid w:val="00CC10BB"/>
    <w:rsid w:val="00CC5AF7"/>
    <w:rsid w:val="00CD0428"/>
    <w:rsid w:val="00CD2AD3"/>
    <w:rsid w:val="00CD3CCC"/>
    <w:rsid w:val="00D04286"/>
    <w:rsid w:val="00D314B2"/>
    <w:rsid w:val="00D62056"/>
    <w:rsid w:val="00D73A0D"/>
    <w:rsid w:val="00D80DC8"/>
    <w:rsid w:val="00D847AB"/>
    <w:rsid w:val="00DB55E2"/>
    <w:rsid w:val="00DC54C6"/>
    <w:rsid w:val="00DD3D0E"/>
    <w:rsid w:val="00DD6039"/>
    <w:rsid w:val="00DD74B3"/>
    <w:rsid w:val="00E54258"/>
    <w:rsid w:val="00E667F6"/>
    <w:rsid w:val="00E76553"/>
    <w:rsid w:val="00EA0B1A"/>
    <w:rsid w:val="00EA10E4"/>
    <w:rsid w:val="00EA6129"/>
    <w:rsid w:val="00EB0BDE"/>
    <w:rsid w:val="00EB62A9"/>
    <w:rsid w:val="00ED449D"/>
    <w:rsid w:val="00EE7C31"/>
    <w:rsid w:val="00F05EC4"/>
    <w:rsid w:val="00F13550"/>
    <w:rsid w:val="00F3053D"/>
    <w:rsid w:val="00F37D81"/>
    <w:rsid w:val="00F63D31"/>
    <w:rsid w:val="01CCD5D7"/>
    <w:rsid w:val="0255627D"/>
    <w:rsid w:val="05A6496B"/>
    <w:rsid w:val="0AA0FFA7"/>
    <w:rsid w:val="0AFF9D37"/>
    <w:rsid w:val="0BCB1900"/>
    <w:rsid w:val="0D772875"/>
    <w:rsid w:val="11EBC7C0"/>
    <w:rsid w:val="11F180BF"/>
    <w:rsid w:val="12C539E9"/>
    <w:rsid w:val="1480D2FD"/>
    <w:rsid w:val="15143228"/>
    <w:rsid w:val="17E1AF0B"/>
    <w:rsid w:val="1E26CBF0"/>
    <w:rsid w:val="1E5B6D69"/>
    <w:rsid w:val="1F163646"/>
    <w:rsid w:val="1F99A45C"/>
    <w:rsid w:val="2037A524"/>
    <w:rsid w:val="213574BD"/>
    <w:rsid w:val="21C99800"/>
    <w:rsid w:val="21F8EA71"/>
    <w:rsid w:val="2322626C"/>
    <w:rsid w:val="26D470AE"/>
    <w:rsid w:val="27574766"/>
    <w:rsid w:val="2A0D7D03"/>
    <w:rsid w:val="2AD80BD9"/>
    <w:rsid w:val="2BA7E1D1"/>
    <w:rsid w:val="2BD12BA1"/>
    <w:rsid w:val="2BFF1289"/>
    <w:rsid w:val="2C142195"/>
    <w:rsid w:val="2CB4CD21"/>
    <w:rsid w:val="2CF44B76"/>
    <w:rsid w:val="2D43B232"/>
    <w:rsid w:val="2D5CDA8F"/>
    <w:rsid w:val="307B52F4"/>
    <w:rsid w:val="33F0E866"/>
    <w:rsid w:val="393214A3"/>
    <w:rsid w:val="3A4432F0"/>
    <w:rsid w:val="3D61C382"/>
    <w:rsid w:val="3DEDDDA2"/>
    <w:rsid w:val="3EB8802C"/>
    <w:rsid w:val="40A7715C"/>
    <w:rsid w:val="40CFF0AA"/>
    <w:rsid w:val="41B477CE"/>
    <w:rsid w:val="444FB6CE"/>
    <w:rsid w:val="4689D59E"/>
    <w:rsid w:val="4708A5C8"/>
    <w:rsid w:val="4804D4CD"/>
    <w:rsid w:val="4DC9C5F9"/>
    <w:rsid w:val="50193C8A"/>
    <w:rsid w:val="506DF5AB"/>
    <w:rsid w:val="51CB4BBB"/>
    <w:rsid w:val="51DC3C11"/>
    <w:rsid w:val="5315F22E"/>
    <w:rsid w:val="5602D12A"/>
    <w:rsid w:val="568AB6C5"/>
    <w:rsid w:val="56B5D357"/>
    <w:rsid w:val="59BD6CAE"/>
    <w:rsid w:val="5A585617"/>
    <w:rsid w:val="5C24C7DD"/>
    <w:rsid w:val="5CDF6096"/>
    <w:rsid w:val="5F07493D"/>
    <w:rsid w:val="5F1F9D2B"/>
    <w:rsid w:val="5F7996A8"/>
    <w:rsid w:val="5FA8D94A"/>
    <w:rsid w:val="633C16CF"/>
    <w:rsid w:val="653026C0"/>
    <w:rsid w:val="65C95737"/>
    <w:rsid w:val="65FC2C97"/>
    <w:rsid w:val="686FB508"/>
    <w:rsid w:val="68F23508"/>
    <w:rsid w:val="6917BAD7"/>
    <w:rsid w:val="6930535B"/>
    <w:rsid w:val="69BA681B"/>
    <w:rsid w:val="6C21C34A"/>
    <w:rsid w:val="70471352"/>
    <w:rsid w:val="71337859"/>
    <w:rsid w:val="713CC2F9"/>
    <w:rsid w:val="73E2A7B0"/>
    <w:rsid w:val="75C8A590"/>
    <w:rsid w:val="765D8135"/>
    <w:rsid w:val="76CC4D2C"/>
    <w:rsid w:val="777CE4B5"/>
    <w:rsid w:val="77BA4E04"/>
    <w:rsid w:val="78E0F5A0"/>
    <w:rsid w:val="7A9C16B3"/>
    <w:rsid w:val="7DDBA4FB"/>
    <w:rsid w:val="7E32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3A20"/>
  <w15:chartTrackingRefBased/>
  <w15:docId w15:val="{39CEDBF0-257B-47C7-8F01-567AFAD5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F40"/>
    <w:pPr>
      <w:keepNext/>
      <w:keepLines/>
      <w:numPr>
        <w:numId w:val="1"/>
      </w:numPr>
      <w:spacing w:before="240" w:after="0"/>
      <w:outlineLvl w:val="0"/>
    </w:pPr>
    <w:rPr>
      <w:rFonts w:asciiTheme="majorHAnsi" w:eastAsiaTheme="majorEastAsia" w:hAnsiTheme="majorHAnsi" w:cstheme="majorBidi"/>
      <w:b/>
      <w:color w:val="2F5496" w:themeColor="accent1" w:themeShade="BF"/>
      <w:kern w:val="0"/>
      <w:sz w:val="28"/>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7B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B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1F40"/>
    <w:rPr>
      <w:rFonts w:asciiTheme="majorHAnsi" w:eastAsiaTheme="majorEastAsia" w:hAnsiTheme="majorHAnsi" w:cstheme="majorBidi"/>
      <w:b/>
      <w:color w:val="2F5496" w:themeColor="accent1" w:themeShade="BF"/>
      <w:kern w:val="0"/>
      <w:sz w:val="28"/>
      <w:szCs w:val="32"/>
      <w14:ligatures w14:val="none"/>
    </w:rPr>
  </w:style>
  <w:style w:type="paragraph" w:styleId="Header">
    <w:name w:val="header"/>
    <w:basedOn w:val="Normal"/>
    <w:link w:val="HeaderChar"/>
    <w:uiPriority w:val="99"/>
    <w:unhideWhenUsed/>
    <w:rsid w:val="00A7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51"/>
  </w:style>
  <w:style w:type="paragraph" w:styleId="Footer">
    <w:name w:val="footer"/>
    <w:basedOn w:val="Normal"/>
    <w:link w:val="FooterChar"/>
    <w:uiPriority w:val="99"/>
    <w:unhideWhenUsed/>
    <w:rsid w:val="00A7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51"/>
  </w:style>
  <w:style w:type="paragraph" w:styleId="ListParagraph">
    <w:name w:val="List Paragraph"/>
    <w:basedOn w:val="Normal"/>
    <w:uiPriority w:val="34"/>
    <w:qFormat/>
    <w:rsid w:val="00CD0428"/>
    <w:pPr>
      <w:ind w:left="720"/>
      <w:contextualSpacing/>
    </w:pPr>
  </w:style>
  <w:style w:type="paragraph" w:styleId="FootnoteText">
    <w:name w:val="footnote text"/>
    <w:basedOn w:val="Normal"/>
    <w:link w:val="FootnoteTextChar"/>
    <w:uiPriority w:val="99"/>
    <w:semiHidden/>
    <w:unhideWhenUsed/>
    <w:rsid w:val="00B96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463"/>
    <w:rPr>
      <w:sz w:val="20"/>
      <w:szCs w:val="20"/>
    </w:rPr>
  </w:style>
  <w:style w:type="character" w:styleId="FootnoteReference">
    <w:name w:val="footnote reference"/>
    <w:basedOn w:val="DefaultParagraphFont"/>
    <w:uiPriority w:val="99"/>
    <w:semiHidden/>
    <w:unhideWhenUsed/>
    <w:rsid w:val="00B96463"/>
    <w:rPr>
      <w:vertAlign w:val="superscript"/>
    </w:rPr>
  </w:style>
  <w:style w:type="character" w:styleId="Hyperlink">
    <w:name w:val="Hyperlink"/>
    <w:basedOn w:val="DefaultParagraphFont"/>
    <w:uiPriority w:val="99"/>
    <w:unhideWhenUsed/>
    <w:rsid w:val="00B96463"/>
    <w:rPr>
      <w:color w:val="0563C1" w:themeColor="hyperlink"/>
      <w:u w:val="single"/>
    </w:rPr>
  </w:style>
  <w:style w:type="character" w:styleId="UnresolvedMention">
    <w:name w:val="Unresolved Mention"/>
    <w:basedOn w:val="DefaultParagraphFont"/>
    <w:uiPriority w:val="99"/>
    <w:semiHidden/>
    <w:unhideWhenUsed/>
    <w:rsid w:val="00B96463"/>
    <w:rPr>
      <w:color w:val="605E5C"/>
      <w:shd w:val="clear" w:color="auto" w:fill="E1DFDD"/>
    </w:rPr>
  </w:style>
  <w:style w:type="paragraph" w:styleId="IntenseQuote">
    <w:name w:val="Intense Quote"/>
    <w:basedOn w:val="Normal"/>
    <w:next w:val="Normal"/>
    <w:link w:val="IntenseQuoteChar"/>
    <w:uiPriority w:val="30"/>
    <w:qFormat/>
    <w:rsid w:val="007929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2952"/>
    <w:rPr>
      <w:i/>
      <w:iCs/>
      <w:color w:val="4472C4" w:themeColor="accent1"/>
    </w:rPr>
  </w:style>
  <w:style w:type="character" w:styleId="FollowedHyperlink">
    <w:name w:val="FollowedHyperlink"/>
    <w:basedOn w:val="DefaultParagraphFont"/>
    <w:uiPriority w:val="99"/>
    <w:semiHidden/>
    <w:unhideWhenUsed/>
    <w:rsid w:val="00515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mailto:oficev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lindunio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bu.ng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orldblindunion.org/covid-19-amplifying-voices-our-lives-our-sa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cevi.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education/emergencies" TargetMode="External"/><Relationship Id="rId7" Type="http://schemas.openxmlformats.org/officeDocument/2006/relationships/hyperlink" Target="https://www.conflictandhealth.biomedcentral.com/article/10.1186/s13031-022-00486-6" TargetMode="External"/><Relationship Id="rId2" Type="http://schemas.openxmlformats.org/officeDocument/2006/relationships/hyperlink" Target="file:///C:\Users\ONE%20HOPE%20MALAWI\Desktop\A\WBU\Statements\August%202023%20Statements\Position%20paper_Education%20during%20emergencies\https\www.inee.org\education-in-emergencies" TargetMode="External"/><Relationship Id="rId1" Type="http://schemas.openxmlformats.org/officeDocument/2006/relationships/hyperlink" Target="https://www.ohchr.org/en/documents/general-comments-and-recommendations/general-comment-no-4-article-24-right-inclusive" TargetMode="External"/><Relationship Id="rId6" Type="http://schemas.openxmlformats.org/officeDocument/2006/relationships/hyperlink" Target="https://www.data.unicef.org/topic/child-migration-and-displacement/displacement/" TargetMode="External"/><Relationship Id="rId5" Type="http://schemas.openxmlformats.org/officeDocument/2006/relationships/hyperlink" Target="https://www.womenrefugeecommission.org/focus-areas-gender-social-inclusion/disability-inclusion" TargetMode="External"/><Relationship Id="rId4" Type="http://schemas.openxmlformats.org/officeDocument/2006/relationships/hyperlink" Target="https://www.unhcr.org/612f85d64/unhcr-education-report-2021-staying-course-challenges-facing-refuge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22B8-E0DD-436F-831D-167BB9F3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CHIKASAMBA</dc:creator>
  <cp:keywords/>
  <dc:description/>
  <cp:lastModifiedBy>Marc Workman</cp:lastModifiedBy>
  <cp:revision>4</cp:revision>
  <dcterms:created xsi:type="dcterms:W3CDTF">2024-01-23T08:29:00Z</dcterms:created>
  <dcterms:modified xsi:type="dcterms:W3CDTF">2024-01-24T03:06:00Z</dcterms:modified>
</cp:coreProperties>
</file>