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B6A8" w14:textId="440F6390" w:rsidR="00561F40" w:rsidRPr="00361C98" w:rsidRDefault="00244032" w:rsidP="00244032">
      <w:pPr>
        <w:spacing w:line="276" w:lineRule="auto"/>
        <w:rPr>
          <w:sz w:val="32"/>
          <w:szCs w:val="28"/>
          <w:lang w:val="es-ES_tradnl"/>
        </w:rPr>
      </w:pPr>
      <w:r w:rsidRPr="00361C98">
        <w:rPr>
          <w:noProof/>
          <w:sz w:val="28"/>
          <w:szCs w:val="28"/>
          <w:lang w:val="es-ES_tradnl"/>
        </w:rPr>
        <w:drawing>
          <wp:inline distT="0" distB="0" distL="0" distR="0" wp14:anchorId="0E416D6A" wp14:editId="7F0F3F8B">
            <wp:extent cx="1143000" cy="569309"/>
            <wp:effectExtent l="0" t="0" r="0" b="2540"/>
            <wp:docPr id="563315701" name="Picture 563315701" descr="Logotipo de la Unión Mundial de Cie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0754" cy="613018"/>
                    </a:xfrm>
                    <a:prstGeom prst="rect">
                      <a:avLst/>
                    </a:prstGeom>
                  </pic:spPr>
                </pic:pic>
              </a:graphicData>
            </a:graphic>
          </wp:inline>
        </w:drawing>
      </w:r>
      <w:r w:rsidRPr="00361C98">
        <w:rPr>
          <w:sz w:val="32"/>
          <w:szCs w:val="28"/>
          <w:lang w:val="es-ES_tradnl"/>
        </w:rPr>
        <w:tab/>
      </w:r>
      <w:r w:rsidRPr="00361C98">
        <w:rPr>
          <w:sz w:val="32"/>
          <w:szCs w:val="28"/>
          <w:lang w:val="es-ES_tradnl"/>
        </w:rPr>
        <w:tab/>
      </w:r>
      <w:r w:rsidRPr="00361C98">
        <w:rPr>
          <w:sz w:val="32"/>
          <w:szCs w:val="28"/>
          <w:lang w:val="es-ES_tradnl"/>
        </w:rPr>
        <w:tab/>
      </w:r>
      <w:r w:rsidRPr="00361C98">
        <w:rPr>
          <w:sz w:val="32"/>
          <w:szCs w:val="28"/>
          <w:lang w:val="es-ES_tradnl"/>
        </w:rPr>
        <w:tab/>
      </w:r>
      <w:r w:rsidRPr="00361C98">
        <w:rPr>
          <w:sz w:val="32"/>
          <w:szCs w:val="28"/>
          <w:lang w:val="es-ES_tradnl"/>
        </w:rPr>
        <w:tab/>
      </w:r>
      <w:r w:rsidRPr="00361C98">
        <w:rPr>
          <w:sz w:val="32"/>
          <w:szCs w:val="28"/>
          <w:lang w:val="es-ES_tradnl"/>
        </w:rPr>
        <w:tab/>
      </w:r>
      <w:r w:rsidRPr="00361C98">
        <w:rPr>
          <w:sz w:val="32"/>
          <w:szCs w:val="28"/>
          <w:lang w:val="es-ES_tradnl"/>
        </w:rPr>
        <w:tab/>
      </w:r>
      <w:r w:rsidRPr="00361C98">
        <w:rPr>
          <w:sz w:val="32"/>
          <w:szCs w:val="28"/>
          <w:lang w:val="es-ES_tradnl"/>
        </w:rPr>
        <w:tab/>
      </w:r>
      <w:r w:rsidRPr="00361C98">
        <w:rPr>
          <w:noProof/>
          <w:sz w:val="28"/>
          <w:szCs w:val="28"/>
          <w:lang w:val="es-ES_tradnl"/>
        </w:rPr>
        <w:drawing>
          <wp:inline distT="0" distB="0" distL="0" distR="0" wp14:anchorId="17820384" wp14:editId="3040E10B">
            <wp:extent cx="1388271" cy="558800"/>
            <wp:effectExtent l="0" t="0" r="2540" b="0"/>
            <wp:docPr id="1" name="Picture 1" descr="Logotipo de IC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ipo de ICEVI"/>
                    <pic:cNvPicPr/>
                  </pic:nvPicPr>
                  <pic:blipFill>
                    <a:blip r:embed="rId9">
                      <a:extLst>
                        <a:ext uri="{28A0092B-C50C-407E-A947-70E740481C1C}">
                          <a14:useLocalDpi xmlns:a14="http://schemas.microsoft.com/office/drawing/2010/main" val="0"/>
                        </a:ext>
                      </a:extLst>
                    </a:blip>
                    <a:stretch>
                      <a:fillRect/>
                    </a:stretch>
                  </pic:blipFill>
                  <pic:spPr>
                    <a:xfrm>
                      <a:off x="0" y="0"/>
                      <a:ext cx="1391934" cy="560275"/>
                    </a:xfrm>
                    <a:prstGeom prst="rect">
                      <a:avLst/>
                    </a:prstGeom>
                  </pic:spPr>
                </pic:pic>
              </a:graphicData>
            </a:graphic>
          </wp:inline>
        </w:drawing>
      </w:r>
      <w:r w:rsidRPr="00361C98">
        <w:rPr>
          <w:lang w:val="es-ES_tradnl"/>
        </w:rPr>
        <w:tab/>
      </w:r>
    </w:p>
    <w:p w14:paraId="7BD94350" w14:textId="7CB6924B" w:rsidR="00617BB2" w:rsidRPr="00361C98" w:rsidRDefault="00617BB2" w:rsidP="003E36B5">
      <w:pPr>
        <w:pStyle w:val="Title"/>
        <w:spacing w:line="276" w:lineRule="auto"/>
        <w:jc w:val="center"/>
        <w:rPr>
          <w:rFonts w:asciiTheme="minorHAnsi" w:hAnsiTheme="minorHAnsi" w:cstheme="minorHAnsi"/>
          <w:b/>
          <w:bCs/>
          <w:color w:val="1F3864" w:themeColor="accent1" w:themeShade="80"/>
          <w:sz w:val="34"/>
          <w:szCs w:val="34"/>
          <w:lang w:val="es-ES_tradnl"/>
        </w:rPr>
      </w:pPr>
      <w:r w:rsidRPr="00361C98">
        <w:rPr>
          <w:rFonts w:asciiTheme="minorHAnsi" w:hAnsiTheme="minorHAnsi" w:cstheme="minorHAnsi"/>
          <w:b/>
          <w:bCs/>
          <w:color w:val="1F3864" w:themeColor="accent1" w:themeShade="80"/>
          <w:sz w:val="34"/>
          <w:szCs w:val="34"/>
          <w:lang w:val="es-ES_tradnl"/>
        </w:rPr>
        <w:t>La educación en crisis: un llamamiento urgente para garantizar una prestación y un acceso equitativos para las personas con ceguera o visión parcial</w:t>
      </w:r>
    </w:p>
    <w:p w14:paraId="4B15D73E" w14:textId="77777777" w:rsidR="00617BB2" w:rsidRPr="00361C98" w:rsidRDefault="00617BB2" w:rsidP="003E36B5">
      <w:pPr>
        <w:pStyle w:val="Title"/>
        <w:spacing w:line="276" w:lineRule="auto"/>
        <w:rPr>
          <w:rFonts w:ascii="Verdana" w:hAnsi="Verdana"/>
          <w:b/>
          <w:bCs/>
          <w:sz w:val="40"/>
          <w:szCs w:val="40"/>
          <w:lang w:val="es-ES_tradnl"/>
        </w:rPr>
      </w:pPr>
    </w:p>
    <w:p w14:paraId="699FFA3B" w14:textId="7F480C7B" w:rsidR="00792952" w:rsidRPr="00361C98" w:rsidRDefault="00792952" w:rsidP="00792952">
      <w:pPr>
        <w:pStyle w:val="IntenseQuote"/>
        <w:rPr>
          <w:b/>
          <w:bCs/>
          <w:color w:val="1F3864" w:themeColor="accent1" w:themeShade="80"/>
          <w:sz w:val="28"/>
          <w:szCs w:val="28"/>
          <w:lang w:val="es-ES_tradnl"/>
        </w:rPr>
      </w:pPr>
      <w:r w:rsidRPr="00361C98">
        <w:rPr>
          <w:b/>
          <w:bCs/>
          <w:color w:val="1F3864" w:themeColor="accent1" w:themeShade="80"/>
          <w:sz w:val="28"/>
          <w:szCs w:val="28"/>
          <w:lang w:val="es-ES_tradnl"/>
        </w:rPr>
        <w:t xml:space="preserve">La obligación de garantizar los derechos humanos, incluido el derecho a la educación, en condiciones de igualdad no cesa automáticamente durante las situaciones de emergencia. Por tanto, los gobiernos deben garantizar la disponibilidad y la accesibilidad de la educación para las personas con ceguera o visión parcial durante y después de las emergencias. </w:t>
      </w:r>
    </w:p>
    <w:p w14:paraId="1A0B0087" w14:textId="6EFC8C51" w:rsidR="007663A7" w:rsidRPr="00361C98" w:rsidRDefault="00617BB2" w:rsidP="003E36B5">
      <w:pPr>
        <w:pStyle w:val="Title"/>
        <w:spacing w:line="276" w:lineRule="auto"/>
        <w:rPr>
          <w:rFonts w:ascii="Verdana" w:hAnsi="Verdana"/>
          <w:b/>
          <w:bCs/>
          <w:color w:val="1F3864" w:themeColor="accent1" w:themeShade="80"/>
          <w:sz w:val="30"/>
          <w:szCs w:val="30"/>
          <w:lang w:val="es-ES_tradnl"/>
        </w:rPr>
      </w:pPr>
      <w:r w:rsidRPr="00361C98">
        <w:rPr>
          <w:rFonts w:asciiTheme="minorHAnsi" w:hAnsiTheme="minorHAnsi" w:cstheme="minorHAnsi"/>
          <w:b/>
          <w:bCs/>
          <w:color w:val="1F3864" w:themeColor="accent1" w:themeShade="80"/>
          <w:sz w:val="30"/>
          <w:szCs w:val="30"/>
          <w:lang w:val="es-ES_tradnl"/>
        </w:rPr>
        <w:t>El problema</w:t>
      </w:r>
    </w:p>
    <w:p w14:paraId="5C84B03A" w14:textId="055E95D4" w:rsidR="00244032" w:rsidRPr="00361C98" w:rsidRDefault="00D04286" w:rsidP="00F3053D">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Durante situaciones de emergencia tales como terremotos, ciclones, huracanes, inundaciones, brotes, conflictos y guerras, el derecho a la educación se ve gravemente menoscabado. Estas crisis acarrean importantes daños en las infraestructuras, incluidos los edificios residenciales y educativos, lo que se traduce en el cierre de escuelas. A consecuencia de ello, las personas con ceguera o visión parcial se ven a menudo relegadas a la periferia de la sociedad, con un acceso limitado a los recursos educativos y a las redes de asistencia durante las situaciones de emergencia. A pesar de las iniciativas para implantar la educación a distancia en situaciones de emergencia (ERE) con el fin de garantizar que el aprendizaje no se interrumpa durante las situaciones de crisis, la limitada accesibilidad que ofrecen las plataformas digitales, las tecnologías de asistencia y los métodos de aprendizaje alternativos sigue impidiendo que las personas con ceguera o visión parcial se beneficien plenamente de su derecho a la educación durante las situaciones de emergencia.</w:t>
      </w:r>
      <w:r w:rsidRPr="00361C98">
        <w:rPr>
          <w:rStyle w:val="FootnoteReference"/>
          <w:rFonts w:ascii="Calibri" w:hAnsi="Calibri" w:cs="Calibri"/>
          <w:sz w:val="26"/>
          <w:szCs w:val="26"/>
          <w:lang w:val="es-ES_tradnl"/>
        </w:rPr>
        <w:footnoteReference w:id="1"/>
      </w:r>
    </w:p>
    <w:p w14:paraId="100FDDA3" w14:textId="77777777" w:rsidR="00244032" w:rsidRPr="00361C98" w:rsidRDefault="00244032" w:rsidP="00F3053D">
      <w:pPr>
        <w:spacing w:after="0" w:line="276" w:lineRule="auto"/>
        <w:jc w:val="both"/>
        <w:rPr>
          <w:rFonts w:ascii="Calibri" w:hAnsi="Calibri" w:cs="Calibri"/>
          <w:sz w:val="26"/>
          <w:szCs w:val="26"/>
          <w:lang w:val="es-ES_tradnl"/>
        </w:rPr>
      </w:pPr>
    </w:p>
    <w:p w14:paraId="5341BB43" w14:textId="1532E009" w:rsidR="0020608D" w:rsidRPr="00361C98" w:rsidRDefault="00BD1D32" w:rsidP="00F3053D">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Por otra parte, la destrucción generalizada que provocan las situaciones de emergencia hace que los servicios esenciales, como la atención sanitaria, el transporte, la protección social, el agua y el saneamiento, se alteren o incluso se paralicen por completo. Lamentablemente, el efecto de estas situaciones de emergencia no es homogéneo, lo que agrava las desigualdades existentes que sufren las personas con discapacidades, en particular aquellas con ceguera o visión parcial. Las consecuencias de estas disparidades son de amplio alcance, ya que dificultan el desarrollo personal y socioeconómico de las personas con ceguera o visión parcial, que a menudo se encuentran en una importante situación de desventaja en las situaciones de emergencia. A modo de ejemplo, el acceso limitado a las oportunidades educativas para las personas con ceguera o visión parcial durante las situaciones de emergencia puede limitar gravemente sus posibilidades de obtener ingresos cuando se ven obligadas a desplazarse o a establecerse y ganarse la vida en un nuevo entorno. Además, a las personas con ceguera o visión parcial se les suele excluir de la realización de trabajos manuales, por lo que dependen en gran medida de su educación para poder incorporarse a actividades económicas lucrativas, como el mundo laboral.</w:t>
      </w:r>
    </w:p>
    <w:p w14:paraId="41A28BFF" w14:textId="77777777" w:rsidR="0020608D" w:rsidRPr="00361C98" w:rsidRDefault="0020608D" w:rsidP="003E36B5">
      <w:pPr>
        <w:pStyle w:val="Title"/>
        <w:spacing w:after="240" w:line="276" w:lineRule="auto"/>
        <w:rPr>
          <w:rFonts w:asciiTheme="minorHAnsi" w:hAnsiTheme="minorHAnsi" w:cstheme="minorHAnsi"/>
          <w:b/>
          <w:bCs/>
          <w:color w:val="1F3864" w:themeColor="accent1" w:themeShade="80"/>
          <w:sz w:val="32"/>
          <w:szCs w:val="32"/>
          <w:lang w:val="es-ES_tradnl"/>
        </w:rPr>
      </w:pPr>
    </w:p>
    <w:p w14:paraId="41D80EF6" w14:textId="1BB9CAB7" w:rsidR="00DD3D0E" w:rsidRPr="00361C98" w:rsidRDefault="00DD3D0E" w:rsidP="003E36B5">
      <w:pPr>
        <w:pStyle w:val="Title"/>
        <w:spacing w:after="240" w:line="276" w:lineRule="auto"/>
        <w:rPr>
          <w:rFonts w:ascii="Verdana" w:hAnsi="Verdana"/>
          <w:b/>
          <w:bCs/>
          <w:color w:val="1F3864" w:themeColor="accent1" w:themeShade="80"/>
          <w:sz w:val="30"/>
          <w:szCs w:val="30"/>
          <w:lang w:val="es-ES_tradnl"/>
        </w:rPr>
      </w:pPr>
      <w:r w:rsidRPr="00361C98">
        <w:rPr>
          <w:rFonts w:asciiTheme="minorHAnsi" w:hAnsiTheme="minorHAnsi" w:cstheme="minorHAnsi"/>
          <w:b/>
          <w:bCs/>
          <w:color w:val="1F3864" w:themeColor="accent1" w:themeShade="80"/>
          <w:sz w:val="30"/>
          <w:szCs w:val="30"/>
          <w:lang w:val="es-ES_tradnl"/>
        </w:rPr>
        <w:t>Nuestra posición y nuestra llamada a la acción</w:t>
      </w:r>
    </w:p>
    <w:p w14:paraId="58790D10" w14:textId="25DDC6A7" w:rsidR="00A8212B" w:rsidRPr="00361C98" w:rsidRDefault="00C654F8" w:rsidP="003E36B5">
      <w:pPr>
        <w:spacing w:line="276" w:lineRule="auto"/>
        <w:jc w:val="both"/>
        <w:rPr>
          <w:rFonts w:ascii="Calibri" w:hAnsi="Calibri" w:cs="Calibri"/>
          <w:sz w:val="26"/>
          <w:szCs w:val="26"/>
          <w:lang w:val="es-ES_tradnl"/>
        </w:rPr>
      </w:pPr>
      <w:r w:rsidRPr="00361C98">
        <w:rPr>
          <w:rFonts w:ascii="Calibri" w:hAnsi="Calibri" w:cs="Calibri"/>
          <w:sz w:val="26"/>
          <w:szCs w:val="26"/>
          <w:lang w:val="es-ES_tradnl"/>
        </w:rPr>
        <w:t xml:space="preserve">La Unión Mundial de Ciegos (UMC) y el Consejo Internacional para la Educación de las Personas con Discapacidades Visuales (ICEVI) creen firmemente que, en las situaciones de emergencia, debe garantizarse el acceso equitativo a la educación para las personas con ceguera o visión parcial, de forma que se respete su derecho a la educación, contemplado en el </w:t>
      </w:r>
      <w:r w:rsidR="00B07F62" w:rsidRPr="00361C98">
        <w:rPr>
          <w:rFonts w:ascii="Calibri" w:hAnsi="Calibri" w:cs="Calibri"/>
          <w:sz w:val="26"/>
          <w:szCs w:val="26"/>
          <w:lang w:val="es-ES_tradnl"/>
        </w:rPr>
        <w:t>A</w:t>
      </w:r>
      <w:r w:rsidRPr="00361C98">
        <w:rPr>
          <w:rFonts w:ascii="Calibri" w:hAnsi="Calibri" w:cs="Calibri"/>
          <w:sz w:val="26"/>
          <w:szCs w:val="26"/>
          <w:lang w:val="es-ES_tradnl"/>
        </w:rPr>
        <w:t xml:space="preserve">rtículo 24 de la Convención de las Naciones Unidas sobre los Derechos de las Personas con Discapacidad (UNCRPD), mediante el uso de tecnologías y métodos accesibles de acuerdo con el </w:t>
      </w:r>
      <w:r w:rsidR="00B07F62" w:rsidRPr="00361C98">
        <w:rPr>
          <w:rFonts w:ascii="Calibri" w:hAnsi="Calibri" w:cs="Calibri"/>
          <w:sz w:val="26"/>
          <w:szCs w:val="26"/>
          <w:lang w:val="es-ES_tradnl"/>
        </w:rPr>
        <w:t>A</w:t>
      </w:r>
      <w:r w:rsidRPr="00361C98">
        <w:rPr>
          <w:rFonts w:ascii="Calibri" w:hAnsi="Calibri" w:cs="Calibri"/>
          <w:sz w:val="26"/>
          <w:szCs w:val="26"/>
          <w:lang w:val="es-ES_tradnl"/>
        </w:rPr>
        <w:t xml:space="preserve">rtículo 9 (Accesibilidad) de la UNCRPD. Por lo tanto, hacemos de forma conjunta e inequívoca los siguientes llamamientos: </w:t>
      </w:r>
    </w:p>
    <w:p w14:paraId="27CD3AB8" w14:textId="77777777" w:rsidR="00A8212B" w:rsidRPr="00361C98" w:rsidRDefault="00A8212B" w:rsidP="00A8212B">
      <w:pPr>
        <w:pStyle w:val="ListParagraph"/>
        <w:numPr>
          <w:ilvl w:val="0"/>
          <w:numId w:val="2"/>
        </w:numPr>
        <w:spacing w:after="0" w:line="276" w:lineRule="auto"/>
        <w:ind w:left="360"/>
        <w:jc w:val="both"/>
        <w:rPr>
          <w:rFonts w:ascii="Calibri" w:hAnsi="Calibri" w:cs="Calibri"/>
          <w:sz w:val="26"/>
          <w:szCs w:val="26"/>
          <w:lang w:val="es-ES_tradnl"/>
        </w:rPr>
      </w:pPr>
      <w:r w:rsidRPr="00361C98">
        <w:rPr>
          <w:rFonts w:ascii="Calibri" w:hAnsi="Calibri" w:cs="Calibri"/>
          <w:b/>
          <w:bCs/>
          <w:sz w:val="26"/>
          <w:szCs w:val="26"/>
          <w:lang w:val="es-ES_tradnl"/>
        </w:rPr>
        <w:t>Recomendaciones para los gobiernos</w:t>
      </w:r>
    </w:p>
    <w:p w14:paraId="3D96A7CB" w14:textId="77777777" w:rsidR="00A8212B" w:rsidRPr="00361C98" w:rsidRDefault="00092C96"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Consultar de forma activa e implicar estrechamente a las organizaciones de personas con discapacidades,</w:t>
      </w:r>
      <w:r w:rsidRPr="00361C98">
        <w:rPr>
          <w:rFonts w:ascii="Calibri" w:hAnsi="Calibri" w:cs="Calibri"/>
          <w:sz w:val="26"/>
          <w:szCs w:val="26"/>
          <w:lang w:val="es-ES_tradnl"/>
        </w:rPr>
        <w:t xml:space="preserve"> incluidas aquellas que representan a las personas ciegas o con visión parcial, en todos los aspectos de la planificación y la implementación de planes de educación de emergencia e intervenciones durante y después de las emergencias.</w:t>
      </w:r>
    </w:p>
    <w:p w14:paraId="31FF8D6D" w14:textId="481AA9DE" w:rsidR="00A8212B" w:rsidRPr="00361C98" w:rsidRDefault="00B237A7"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 xml:space="preserve">Recopilar datos sobre discapacidad, desglosados por discapacidad, y adoptar un planteamiento integral basado en datos </w:t>
      </w:r>
      <w:r w:rsidRPr="00361C98">
        <w:rPr>
          <w:rFonts w:ascii="Calibri" w:hAnsi="Calibri" w:cs="Calibri"/>
          <w:sz w:val="26"/>
          <w:szCs w:val="26"/>
          <w:lang w:val="es-ES_tradnl"/>
        </w:rPr>
        <w:t xml:space="preserve">para evaluar el efecto de las situaciones de emergencia, determinar las carencias, evaluar la eficacia de las intervenciones </w:t>
      </w:r>
      <w:r w:rsidRPr="00361C98">
        <w:rPr>
          <w:rFonts w:ascii="Calibri" w:hAnsi="Calibri" w:cs="Calibri"/>
          <w:sz w:val="26"/>
          <w:szCs w:val="26"/>
          <w:lang w:val="es-ES_tradnl"/>
        </w:rPr>
        <w:lastRenderedPageBreak/>
        <w:t>educativas y formular políticas basadas en datos contrastados que garanticen resultados positivos para los alumnos con ceguera o visión parcial durante las situaciones de emergencia</w:t>
      </w:r>
      <w:r w:rsidR="00B07F62" w:rsidRPr="00361C98">
        <w:rPr>
          <w:rFonts w:ascii="Calibri" w:hAnsi="Calibri" w:cs="Calibri"/>
          <w:sz w:val="26"/>
          <w:szCs w:val="26"/>
          <w:lang w:val="es-ES_tradnl"/>
        </w:rPr>
        <w:t xml:space="preserve"> y después de ellas</w:t>
      </w:r>
      <w:r w:rsidRPr="00361C98">
        <w:rPr>
          <w:rFonts w:ascii="Calibri" w:hAnsi="Calibri" w:cs="Calibri"/>
          <w:sz w:val="26"/>
          <w:szCs w:val="26"/>
          <w:lang w:val="es-ES_tradnl"/>
        </w:rPr>
        <w:t>.</w:t>
      </w:r>
    </w:p>
    <w:p w14:paraId="13896F35" w14:textId="621716BF" w:rsidR="00A8212B" w:rsidRPr="00361C98" w:rsidRDefault="6917BAD7"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 xml:space="preserve">Asignar recursos presupuestarios adecuados para desarrollar plataformas, materiales y recursos educativos plenamente accesibles, también en braille y en caracteres grandes, </w:t>
      </w:r>
      <w:r w:rsidRPr="00361C98">
        <w:rPr>
          <w:rFonts w:ascii="Calibri" w:hAnsi="Calibri" w:cs="Calibri"/>
          <w:sz w:val="26"/>
          <w:szCs w:val="26"/>
          <w:lang w:val="es-ES_tradnl"/>
        </w:rPr>
        <w:t>y proporcionar formación y asistencia a los educadores para que utilicen de forma eficaz herramientas y métodos digitales accesibles en la educación a distancia de emergencia.</w:t>
      </w:r>
    </w:p>
    <w:p w14:paraId="358A931C" w14:textId="4634BE61" w:rsidR="000E76AB" w:rsidRPr="00361C98" w:rsidRDefault="000E76AB"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Garantizar y promover una enseñanza ininterrumpida de braille y movilidad,</w:t>
      </w:r>
      <w:r w:rsidRPr="00361C98">
        <w:rPr>
          <w:rFonts w:ascii="Calibri" w:hAnsi="Calibri" w:cs="Calibri"/>
          <w:sz w:val="26"/>
          <w:szCs w:val="26"/>
          <w:lang w:val="es-ES_tradnl"/>
        </w:rPr>
        <w:t xml:space="preserve"> en particular en el marco de un sistema de escuelas especiales para personas con ceguera o visión parcial.</w:t>
      </w:r>
    </w:p>
    <w:p w14:paraId="371D9B68" w14:textId="6AE385A2" w:rsidR="00A8212B" w:rsidRPr="00361C98" w:rsidRDefault="00E667F6"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 xml:space="preserve">Garantizar y reforzar los servicios de asistencia durante las situaciones de emergencia </w:t>
      </w:r>
      <w:r w:rsidRPr="00361C98">
        <w:rPr>
          <w:rFonts w:ascii="Calibri" w:hAnsi="Calibri" w:cs="Calibri"/>
          <w:sz w:val="26"/>
          <w:szCs w:val="26"/>
          <w:lang w:val="es-ES_tradnl"/>
        </w:rPr>
        <w:t>para los alumnos con ceguera o visión parcial; por ejemplo, asesoramiento y atención psicosocial para paliar el efecto psicológico de las situaciones de crisis y prepararlos de forma eficaz para afrontar cualquier cambio drástico inmediato y las consecuencias a largo plazo de las situaciones de emergencia.</w:t>
      </w:r>
    </w:p>
    <w:p w14:paraId="1F5209F6" w14:textId="0FBF3C8E" w:rsidR="00452DF2" w:rsidRPr="00361C98" w:rsidRDefault="006940A1" w:rsidP="002D00ED">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 xml:space="preserve">Capacitar de forma proactiva a las personas con ceguera o visión parcial con servicios de asistencia individualizados y adecuados para cada edad, </w:t>
      </w:r>
      <w:r w:rsidRPr="00361C98">
        <w:rPr>
          <w:rFonts w:ascii="Calibri" w:hAnsi="Calibri" w:cs="Calibri"/>
          <w:sz w:val="26"/>
          <w:szCs w:val="26"/>
          <w:lang w:val="es-ES_tradnl"/>
        </w:rPr>
        <w:t xml:space="preserve">como formación en orientación y movilidad, formación en braille y formación en tecnologías adaptativas.   </w:t>
      </w:r>
    </w:p>
    <w:p w14:paraId="39A4AB6C" w14:textId="77777777" w:rsidR="00452DF2" w:rsidRPr="00361C98" w:rsidRDefault="00452DF2" w:rsidP="00452DF2">
      <w:pPr>
        <w:spacing w:after="0" w:line="276" w:lineRule="auto"/>
        <w:ind w:left="720"/>
        <w:jc w:val="both"/>
        <w:rPr>
          <w:rFonts w:ascii="Calibri" w:hAnsi="Calibri" w:cs="Calibri"/>
          <w:sz w:val="26"/>
          <w:szCs w:val="26"/>
          <w:lang w:val="es-ES_tradnl"/>
        </w:rPr>
      </w:pPr>
    </w:p>
    <w:p w14:paraId="1F8581FF" w14:textId="1EFE1E46" w:rsidR="00A8212B" w:rsidRPr="00361C98" w:rsidRDefault="00A8212B" w:rsidP="003141B7">
      <w:pPr>
        <w:pStyle w:val="ListParagraph"/>
        <w:numPr>
          <w:ilvl w:val="0"/>
          <w:numId w:val="2"/>
        </w:numPr>
        <w:spacing w:after="0" w:line="276" w:lineRule="auto"/>
        <w:ind w:left="450"/>
        <w:jc w:val="both"/>
        <w:rPr>
          <w:rFonts w:ascii="Calibri" w:hAnsi="Calibri" w:cs="Calibri"/>
          <w:sz w:val="26"/>
          <w:szCs w:val="26"/>
          <w:lang w:val="es-ES_tradnl"/>
        </w:rPr>
      </w:pPr>
      <w:r w:rsidRPr="00361C98">
        <w:rPr>
          <w:rFonts w:ascii="Calibri" w:hAnsi="Calibri" w:cs="Calibri"/>
          <w:b/>
          <w:bCs/>
          <w:sz w:val="26"/>
          <w:szCs w:val="26"/>
          <w:lang w:val="es-ES_tradnl"/>
        </w:rPr>
        <w:t xml:space="preserve">Recomendaciones para las entidades no gubernamentales </w:t>
      </w:r>
    </w:p>
    <w:p w14:paraId="58CB6535" w14:textId="2E37F2F2" w:rsidR="00A8212B" w:rsidRPr="00361C98" w:rsidRDefault="00EB0BDE"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Abogar por que los gobiernos formulen y pongan en práctica políticas e intervenciones inclusivas, en colaboración con las organizaciones que representan a las personas con discapacidades,</w:t>
      </w:r>
      <w:r w:rsidRPr="00361C98">
        <w:rPr>
          <w:rFonts w:ascii="Calibri" w:hAnsi="Calibri" w:cs="Calibri"/>
          <w:sz w:val="26"/>
          <w:szCs w:val="26"/>
          <w:lang w:val="es-ES_tradnl"/>
        </w:rPr>
        <w:t xml:space="preserve"> y supervisar activamente dichas políticas e intervenciones para garantizar que den prioridad a los derechos y las necesidades de las personas con ceguera o visión parcial.</w:t>
      </w:r>
    </w:p>
    <w:p w14:paraId="3A72E8DF" w14:textId="77777777" w:rsidR="00EA6129" w:rsidRPr="00361C98" w:rsidRDefault="00EB0BDE"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 xml:space="preserve">Colaborar con las agencias internacionales y otras organizaciones nacionales (incluidas las empresas privadas) para prestar servicios de asistencia </w:t>
      </w:r>
      <w:r w:rsidRPr="00361C98">
        <w:rPr>
          <w:rFonts w:ascii="Calibri" w:hAnsi="Calibri" w:cs="Calibri"/>
          <w:sz w:val="26"/>
          <w:szCs w:val="26"/>
          <w:lang w:val="es-ES_tradnl"/>
        </w:rPr>
        <w:t>a las personas con ceguera o visión parcial durante las situaciones de emergencia; por ejemplo, asistencia en materia de salud mental, asesoramiento y equipos que faciliten tanto la movilidad como el acceso a la enseñanza digital o a distancia.</w:t>
      </w:r>
    </w:p>
    <w:p w14:paraId="672EFF1A" w14:textId="651CF30A" w:rsidR="00EB0BDE" w:rsidRPr="00361C98" w:rsidRDefault="00EA6129" w:rsidP="00A8212B">
      <w:pPr>
        <w:pStyle w:val="ListParagraph"/>
        <w:numPr>
          <w:ilvl w:val="1"/>
          <w:numId w:val="2"/>
        </w:numPr>
        <w:spacing w:after="0" w:line="276" w:lineRule="auto"/>
        <w:ind w:left="108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 xml:space="preserve">Los desarrolladores de tecnología deberían consultar de forma activa con las organizaciones que representan a las personas con discapacidades, además de trabajar con los gobiernos, </w:t>
      </w:r>
      <w:r w:rsidRPr="00361C98">
        <w:rPr>
          <w:rFonts w:ascii="Calibri" w:hAnsi="Calibri" w:cs="Calibri"/>
          <w:sz w:val="26"/>
          <w:szCs w:val="26"/>
          <w:lang w:val="es-ES_tradnl"/>
        </w:rPr>
        <w:t xml:space="preserve">para garantizar una mayor accesibilidad a las plataformas </w:t>
      </w:r>
      <w:r w:rsidRPr="00361C98">
        <w:rPr>
          <w:rFonts w:ascii="Calibri" w:hAnsi="Calibri" w:cs="Calibri"/>
          <w:sz w:val="26"/>
          <w:szCs w:val="26"/>
          <w:lang w:val="es-ES_tradnl"/>
        </w:rPr>
        <w:lastRenderedPageBreak/>
        <w:t>digitales, los materiales didácticos y las tecnologías que se emplean en la educación a distancia de emergencia. Esto comprende el deber de los desarrolladores de tecnología de garantizar que las plataformas de aprendizaje digital sean compatibles con las tecnologías de asistencia e integren características de accesibilidad, como el subtitulado del contenido de audio.</w:t>
      </w:r>
    </w:p>
    <w:p w14:paraId="5409EC3D" w14:textId="77777777" w:rsidR="002D00ED" w:rsidRPr="00361C98" w:rsidRDefault="002D00ED" w:rsidP="002D00ED">
      <w:pPr>
        <w:pStyle w:val="ListParagraph"/>
        <w:spacing w:after="0" w:line="276" w:lineRule="auto"/>
        <w:ind w:left="1080"/>
        <w:jc w:val="both"/>
        <w:rPr>
          <w:rFonts w:ascii="Calibri" w:hAnsi="Calibri" w:cs="Calibri"/>
          <w:sz w:val="26"/>
          <w:szCs w:val="26"/>
          <w:lang w:val="es-ES_tradnl"/>
        </w:rPr>
      </w:pPr>
    </w:p>
    <w:p w14:paraId="3C135E27" w14:textId="792013CA" w:rsidR="00A8212B" w:rsidRPr="00361C98" w:rsidRDefault="00A8212B" w:rsidP="00A8212B">
      <w:pPr>
        <w:pStyle w:val="ListParagraph"/>
        <w:numPr>
          <w:ilvl w:val="0"/>
          <w:numId w:val="2"/>
        </w:numPr>
        <w:spacing w:after="0" w:line="276" w:lineRule="auto"/>
        <w:ind w:left="450"/>
        <w:jc w:val="both"/>
        <w:rPr>
          <w:rFonts w:ascii="Calibri" w:hAnsi="Calibri" w:cs="Calibri"/>
          <w:sz w:val="26"/>
          <w:szCs w:val="26"/>
          <w:lang w:val="es-ES_tradnl"/>
        </w:rPr>
      </w:pPr>
      <w:r w:rsidRPr="00361C98">
        <w:rPr>
          <w:rFonts w:ascii="Calibri" w:hAnsi="Calibri" w:cs="Calibri"/>
          <w:b/>
          <w:bCs/>
          <w:sz w:val="26"/>
          <w:szCs w:val="26"/>
          <w:lang w:val="es-ES_tradnl"/>
        </w:rPr>
        <w:t>Recomendaciones para los profesionales de la educación (incluidos profesores, jefes de estudios o directores)</w:t>
      </w:r>
    </w:p>
    <w:p w14:paraId="44273839" w14:textId="5F65D659" w:rsidR="003141B7" w:rsidRPr="00361C98" w:rsidRDefault="00952ADD" w:rsidP="003141B7">
      <w:pPr>
        <w:pStyle w:val="ListParagraph"/>
        <w:numPr>
          <w:ilvl w:val="1"/>
          <w:numId w:val="2"/>
        </w:numPr>
        <w:spacing w:after="0" w:line="276" w:lineRule="auto"/>
        <w:ind w:left="117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 xml:space="preserve">Llevar a cabo periódicamente consultas y sesiones conjuntas de planificación con las organizaciones que representan a las personas con discapacidades, especialistas en orientación y movilidad, profesores de braille y expertos en tecnologías adaptativas </w:t>
      </w:r>
      <w:r w:rsidRPr="00361C98">
        <w:rPr>
          <w:rFonts w:ascii="Calibri" w:hAnsi="Calibri" w:cs="Calibri"/>
          <w:sz w:val="26"/>
          <w:szCs w:val="26"/>
          <w:lang w:val="es-ES_tradnl"/>
        </w:rPr>
        <w:t>para garantizar que los alumnos con ceguera o visión parcial reciban la ayuda necesaria para desenvolverse en su entorno y acceder a las oportunidades educativas en igualdad de condiciones que los demás niños durante las situaciones de emergencia.</w:t>
      </w:r>
    </w:p>
    <w:p w14:paraId="1A83D34D" w14:textId="3C6D73B7" w:rsidR="00952ADD" w:rsidRPr="00361C98" w:rsidRDefault="00952ADD" w:rsidP="003141B7">
      <w:pPr>
        <w:pStyle w:val="ListParagraph"/>
        <w:numPr>
          <w:ilvl w:val="1"/>
          <w:numId w:val="2"/>
        </w:numPr>
        <w:spacing w:after="0" w:line="276" w:lineRule="auto"/>
        <w:ind w:left="1170"/>
        <w:jc w:val="both"/>
        <w:rPr>
          <w:rFonts w:ascii="Calibri" w:hAnsi="Calibri" w:cs="Calibri"/>
          <w:sz w:val="26"/>
          <w:szCs w:val="26"/>
          <w:lang w:val="es-ES_tradnl"/>
        </w:rPr>
      </w:pPr>
      <w:r w:rsidRPr="00361C98">
        <w:rPr>
          <w:rFonts w:ascii="Calibri" w:hAnsi="Calibri" w:cs="Calibri"/>
          <w:color w:val="385623" w:themeColor="accent6" w:themeShade="80"/>
          <w:sz w:val="26"/>
          <w:szCs w:val="26"/>
          <w:lang w:val="es-ES_tradnl"/>
        </w:rPr>
        <w:t>Adquirir una formación especializada en preparación inclusiva para situaciones de emergencia</w:t>
      </w:r>
      <w:r w:rsidRPr="00361C98">
        <w:rPr>
          <w:rFonts w:ascii="Calibri" w:hAnsi="Calibri" w:cs="Calibri"/>
          <w:sz w:val="26"/>
          <w:szCs w:val="26"/>
          <w:lang w:val="es-ES_tradnl"/>
        </w:rPr>
        <w:t xml:space="preserve"> con el fin de comprender plenamente las necesidades específicas de las personas con ceguera o visión parcial durante situaciones de emergencia.</w:t>
      </w:r>
    </w:p>
    <w:p w14:paraId="493F2586" w14:textId="77777777" w:rsidR="00A27CFD" w:rsidRPr="00361C98" w:rsidRDefault="00A27CFD" w:rsidP="003E36B5">
      <w:pPr>
        <w:spacing w:after="0" w:line="276" w:lineRule="auto"/>
        <w:jc w:val="both"/>
        <w:rPr>
          <w:rFonts w:ascii="Verdana" w:hAnsi="Verdana"/>
          <w:sz w:val="32"/>
          <w:szCs w:val="32"/>
          <w:lang w:val="es-ES_tradnl"/>
        </w:rPr>
      </w:pPr>
    </w:p>
    <w:p w14:paraId="58AE8DDA" w14:textId="79988163" w:rsidR="00BC2F4B" w:rsidRPr="00361C98" w:rsidRDefault="00BC2F4B" w:rsidP="003E36B5">
      <w:pPr>
        <w:pStyle w:val="Title"/>
        <w:spacing w:after="240" w:line="276" w:lineRule="auto"/>
        <w:rPr>
          <w:rFonts w:ascii="Verdana" w:hAnsi="Verdana"/>
          <w:b/>
          <w:bCs/>
          <w:color w:val="1F3864" w:themeColor="accent1" w:themeShade="80"/>
          <w:sz w:val="30"/>
          <w:szCs w:val="30"/>
          <w:lang w:val="es-ES_tradnl"/>
        </w:rPr>
      </w:pPr>
      <w:r w:rsidRPr="00361C98">
        <w:rPr>
          <w:rFonts w:asciiTheme="minorHAnsi" w:hAnsiTheme="minorHAnsi" w:cstheme="minorHAnsi"/>
          <w:b/>
          <w:bCs/>
          <w:color w:val="1F3864" w:themeColor="accent1" w:themeShade="80"/>
          <w:sz w:val="30"/>
          <w:szCs w:val="30"/>
          <w:lang w:val="es-ES_tradnl"/>
        </w:rPr>
        <w:t>Antecedentes y justificación</w:t>
      </w:r>
    </w:p>
    <w:p w14:paraId="231DB073" w14:textId="41F38224" w:rsidR="00835AE6" w:rsidRPr="00361C98" w:rsidRDefault="00AC2BE0" w:rsidP="003E36B5">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En el mundo hay aproximadamente 240 millones de niños con discapacidad, entre ellos aquellos con ceguera o visión parcial.</w:t>
      </w:r>
      <w:r w:rsidRPr="00361C98">
        <w:rPr>
          <w:rStyle w:val="FootnoteReference"/>
          <w:rFonts w:ascii="Calibri" w:hAnsi="Calibri" w:cs="Calibri"/>
          <w:sz w:val="26"/>
          <w:szCs w:val="26"/>
          <w:lang w:val="es-ES_tradnl"/>
        </w:rPr>
        <w:footnoteReference w:id="2"/>
      </w:r>
      <w:r w:rsidRPr="00361C98">
        <w:rPr>
          <w:rFonts w:ascii="Calibri" w:hAnsi="Calibri" w:cs="Calibri"/>
          <w:sz w:val="26"/>
          <w:szCs w:val="26"/>
          <w:lang w:val="es-ES_tradnl"/>
        </w:rPr>
        <w:t xml:space="preserve"> El acceso a la educación es muy importante para estos niños, en particular en situaciones de emergencia. Para los alumnos con ceguera o visión parcial, la posibilidad de acceder a la educación durante las situaciones de emergencia va más allá del mero derecho a aprender; es también un medio a través del cual disfrutan de otros derechos humanos fundamentales,</w:t>
      </w:r>
      <w:r w:rsidRPr="00361C98">
        <w:rPr>
          <w:rStyle w:val="FootnoteReference"/>
          <w:rFonts w:ascii="Calibri" w:hAnsi="Calibri" w:cs="Calibri"/>
          <w:sz w:val="26"/>
          <w:szCs w:val="26"/>
          <w:lang w:val="es-ES_tradnl"/>
        </w:rPr>
        <w:footnoteReference w:id="3"/>
      </w:r>
      <w:r w:rsidRPr="00361C98">
        <w:rPr>
          <w:rFonts w:ascii="Calibri" w:hAnsi="Calibri" w:cs="Calibri"/>
          <w:sz w:val="26"/>
          <w:szCs w:val="26"/>
          <w:lang w:val="es-ES_tradnl"/>
        </w:rPr>
        <w:t xml:space="preserve"> como la protección contra la explotación, la violencia y el abuso. Asimismo, las escuelas suelen ser centros cruciales para la prestación de servicios esenciales, como los de alimentación y atención sanitaria, durante las situaciones de emergencia, lo que hace que el acceso a la educación sea de vital importancia para el bienestar y la seguridad de los niños con ceguera o visión parcial. Además, una educación de calidad </w:t>
      </w:r>
      <w:r w:rsidRPr="00361C98">
        <w:rPr>
          <w:rFonts w:ascii="Calibri" w:hAnsi="Calibri" w:cs="Calibri"/>
          <w:sz w:val="26"/>
          <w:szCs w:val="26"/>
          <w:lang w:val="es-ES_tradnl"/>
        </w:rPr>
        <w:lastRenderedPageBreak/>
        <w:t xml:space="preserve">desempeña un papel </w:t>
      </w:r>
      <w:r w:rsidR="002A315F" w:rsidRPr="00361C98">
        <w:rPr>
          <w:rFonts w:ascii="Calibri" w:hAnsi="Calibri" w:cs="Calibri"/>
          <w:sz w:val="26"/>
          <w:szCs w:val="26"/>
          <w:lang w:val="es-ES_tradnl"/>
        </w:rPr>
        <w:t xml:space="preserve">significativo </w:t>
      </w:r>
      <w:r w:rsidRPr="00361C98">
        <w:rPr>
          <w:rFonts w:ascii="Calibri" w:hAnsi="Calibri" w:cs="Calibri"/>
          <w:sz w:val="26"/>
          <w:szCs w:val="26"/>
          <w:lang w:val="es-ES_tradnl"/>
        </w:rPr>
        <w:t>en la protección del desarrollo cognitivo y en el fomento del bienestar psicosocial,</w:t>
      </w:r>
      <w:r w:rsidRPr="00361C98">
        <w:rPr>
          <w:rStyle w:val="FootnoteReference"/>
          <w:rFonts w:ascii="Calibri" w:hAnsi="Calibri" w:cs="Calibri"/>
          <w:sz w:val="26"/>
          <w:szCs w:val="26"/>
          <w:lang w:val="es-ES_tradnl"/>
        </w:rPr>
        <w:footnoteReference w:id="4"/>
      </w:r>
      <w:r w:rsidRPr="00361C98">
        <w:rPr>
          <w:rFonts w:ascii="Calibri" w:hAnsi="Calibri" w:cs="Calibri"/>
          <w:sz w:val="26"/>
          <w:szCs w:val="26"/>
          <w:lang w:val="es-ES_tradnl"/>
        </w:rPr>
        <w:t xml:space="preserve"> sobre todo en épocas traumáticas y difíciles. </w:t>
      </w:r>
    </w:p>
    <w:p w14:paraId="34142DC3" w14:textId="77777777" w:rsidR="00835AE6" w:rsidRPr="00361C98" w:rsidRDefault="00835AE6" w:rsidP="003E36B5">
      <w:pPr>
        <w:spacing w:after="0" w:line="276" w:lineRule="auto"/>
        <w:jc w:val="both"/>
        <w:rPr>
          <w:rFonts w:ascii="Calibri" w:hAnsi="Calibri" w:cs="Calibri"/>
          <w:sz w:val="26"/>
          <w:szCs w:val="26"/>
          <w:lang w:val="es-ES_tradnl"/>
        </w:rPr>
      </w:pPr>
    </w:p>
    <w:p w14:paraId="147AC00B" w14:textId="72D11ED9" w:rsidR="00A73D51" w:rsidRPr="00361C98" w:rsidRDefault="00835AE6" w:rsidP="003E36B5">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A pesar de la importancia reconocida de la educación durante las situaciones de emergencia, es entristecedor constatar que la educación suele ser el primer servicio que se suspende y el último que se restablece durante las situaciones de crisis.</w:t>
      </w:r>
      <w:r w:rsidRPr="00361C98">
        <w:rPr>
          <w:rStyle w:val="FootnoteReference"/>
          <w:rFonts w:ascii="Calibri" w:hAnsi="Calibri" w:cs="Calibri"/>
          <w:sz w:val="26"/>
          <w:szCs w:val="26"/>
          <w:lang w:val="es-ES_tradnl"/>
        </w:rPr>
        <w:footnoteReference w:id="5"/>
      </w:r>
      <w:r w:rsidRPr="00361C98">
        <w:rPr>
          <w:rFonts w:ascii="Calibri" w:hAnsi="Calibri" w:cs="Calibri"/>
          <w:sz w:val="26"/>
          <w:szCs w:val="26"/>
          <w:lang w:val="es-ES_tradnl"/>
        </w:rPr>
        <w:t xml:space="preserve"> Es más, esto margina aún más a las personas con ceguera o visión parcial, ya que agrava las desigualdades existentes y las dificultades para acceder a la educación, así como para disfrutar de otros derechos humanos fundamentales. La interrupción de los servicios educativos durante las situaciones de emergencia contribuye a aumentar la brecha educativa entre los alumnos con ceguera o visión parcial y sus compañeros, lo que deja a los primeros en una situación de desventaja significativa.</w:t>
      </w:r>
    </w:p>
    <w:p w14:paraId="0D1FCE12" w14:textId="77777777" w:rsidR="001F0AD3" w:rsidRPr="00361C98" w:rsidRDefault="001F0AD3" w:rsidP="003E36B5">
      <w:pPr>
        <w:spacing w:after="0" w:line="276" w:lineRule="auto"/>
        <w:jc w:val="both"/>
        <w:rPr>
          <w:rFonts w:ascii="Calibri" w:hAnsi="Calibri" w:cs="Calibri"/>
          <w:sz w:val="26"/>
          <w:szCs w:val="26"/>
          <w:lang w:val="es-ES_tradnl"/>
        </w:rPr>
      </w:pPr>
    </w:p>
    <w:p w14:paraId="7618603A" w14:textId="487C3746" w:rsidR="005744EA" w:rsidRPr="00361C98" w:rsidRDefault="001F0AD3" w:rsidP="69BA681B">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En los últimos años se ha producido un notable aumento de la frecuencia y gravedad de diversas situaciones de emergencia. Abarcan desde catástrofes naturales, como terremotos, ciclones e inundaciones, hasta crisis de salud pública, como brotes y pandemias, e incluso conflictos armados y guerras. Estas situaciones de crisis han agudizado considerablemente las dificultades a las que se enfrentan las personas con ceguera o visión parcial para acceder a la educación.</w:t>
      </w:r>
      <w:r w:rsidRPr="00361C98">
        <w:rPr>
          <w:rStyle w:val="FootnoteReference"/>
          <w:rFonts w:ascii="Calibri" w:hAnsi="Calibri" w:cs="Calibri"/>
          <w:sz w:val="26"/>
          <w:szCs w:val="26"/>
          <w:lang w:val="es-ES_tradnl"/>
        </w:rPr>
        <w:footnoteReference w:id="6"/>
      </w:r>
      <w:r w:rsidRPr="00361C98">
        <w:rPr>
          <w:rFonts w:ascii="Calibri" w:hAnsi="Calibri" w:cs="Calibri"/>
          <w:sz w:val="26"/>
          <w:szCs w:val="26"/>
          <w:lang w:val="es-ES_tradnl"/>
        </w:rPr>
        <w:t xml:space="preserve"> </w:t>
      </w:r>
    </w:p>
    <w:p w14:paraId="088BF429" w14:textId="25108329" w:rsidR="005744EA" w:rsidRPr="00361C98" w:rsidRDefault="005744EA" w:rsidP="69BA681B">
      <w:pPr>
        <w:spacing w:after="0" w:line="276" w:lineRule="auto"/>
        <w:jc w:val="both"/>
        <w:rPr>
          <w:rFonts w:ascii="Calibri" w:hAnsi="Calibri" w:cs="Calibri"/>
          <w:sz w:val="26"/>
          <w:szCs w:val="26"/>
          <w:lang w:val="es-ES_tradnl"/>
        </w:rPr>
      </w:pPr>
    </w:p>
    <w:p w14:paraId="7B6A5B2D" w14:textId="619579AB" w:rsidR="005744EA" w:rsidRPr="00361C98" w:rsidRDefault="005A30A5" w:rsidP="69BA681B">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 xml:space="preserve">Las catástrofes naturales, como los ciclones y las inundaciones, junto con los conflictos bélicos, no solo causan daños en las infraestructuras educativas, sino que también generan entornos peligrosos e inaccesibles para los alumnos con ceguera o visión parcial. Además, las crisis de salud pública, como los brotes y las pandemias, representan obstáculos adicionales que exigen el aprendizaje a distancia y la accesibilidad digital. Lamentablemente, la escasez de tecnologías de asistencia y plataformas digitales accesibles suele perpetuar la exclusión de las personas con ceguera o visión parcial de las oportunidades educativas a distancia. </w:t>
      </w:r>
    </w:p>
    <w:p w14:paraId="4CEF66B4" w14:textId="09184E47" w:rsidR="005744EA" w:rsidRPr="00361C98" w:rsidRDefault="005744EA" w:rsidP="69BA681B">
      <w:pPr>
        <w:spacing w:after="0" w:line="276" w:lineRule="auto"/>
        <w:jc w:val="both"/>
        <w:rPr>
          <w:sz w:val="26"/>
          <w:szCs w:val="26"/>
          <w:lang w:val="es-ES_tradnl"/>
        </w:rPr>
      </w:pPr>
    </w:p>
    <w:p w14:paraId="5BB624B5" w14:textId="393CF0E8" w:rsidR="005744EA" w:rsidRPr="00361C98" w:rsidRDefault="00000000" w:rsidP="69BA681B">
      <w:pPr>
        <w:spacing w:after="0" w:line="276" w:lineRule="auto"/>
        <w:jc w:val="both"/>
        <w:rPr>
          <w:sz w:val="26"/>
          <w:szCs w:val="26"/>
          <w:lang w:val="es-ES_tradnl"/>
        </w:rPr>
      </w:pPr>
      <w:hyperlink r:id="rId10" w:history="1">
        <w:r w:rsidRPr="00361C98">
          <w:rPr>
            <w:rStyle w:val="Hyperlink"/>
            <w:sz w:val="26"/>
            <w:szCs w:val="26"/>
            <w:lang w:val="es-ES_tradnl"/>
          </w:rPr>
          <w:t xml:space="preserve">La encuesta sobre </w:t>
        </w:r>
        <w:r w:rsidR="00F444F3" w:rsidRPr="00361C98">
          <w:rPr>
            <w:rStyle w:val="Hyperlink"/>
            <w:sz w:val="26"/>
            <w:szCs w:val="26"/>
            <w:lang w:val="es-ES_tradnl"/>
          </w:rPr>
          <w:t xml:space="preserve">la </w:t>
        </w:r>
        <w:r w:rsidRPr="00361C98">
          <w:rPr>
            <w:rStyle w:val="Hyperlink"/>
            <w:sz w:val="26"/>
            <w:szCs w:val="26"/>
            <w:lang w:val="es-ES_tradnl"/>
          </w:rPr>
          <w:t>COVID-19 de la UMC</w:t>
        </w:r>
      </w:hyperlink>
      <w:r w:rsidRPr="00361C98">
        <w:rPr>
          <w:sz w:val="26"/>
          <w:szCs w:val="26"/>
          <w:lang w:val="es-ES_tradnl"/>
        </w:rPr>
        <w:t xml:space="preserve"> destacó cómo la pandemia puso de manifiesto profundas desigualdades estructurales en el seno de la sociedad. Resultó particularmente notable la indiferencia hacia los requisitos de ajustes razonables y las preferencias de accesibilidad para las personas con ceguera o visión parcial y otros grupos interseccionales. Muchas de las soluciones digitales y técnicas desarrolladas para que la educación y el trabajo </w:t>
      </w:r>
      <w:r w:rsidRPr="00361C98">
        <w:rPr>
          <w:sz w:val="26"/>
          <w:szCs w:val="26"/>
          <w:lang w:val="es-ES_tradnl"/>
        </w:rPr>
        <w:lastRenderedPageBreak/>
        <w:t xml:space="preserve">no se interrumpieran durante la pandemia no tuvieron en cuenta en su totalidad las necesidades de estas comunidades marginadas, lo que amplió aún más la brecha. </w:t>
      </w:r>
    </w:p>
    <w:p w14:paraId="3EE1CA22" w14:textId="77777777" w:rsidR="005744EA" w:rsidRPr="00361C98" w:rsidRDefault="005744EA" w:rsidP="003E36B5">
      <w:pPr>
        <w:spacing w:after="0" w:line="276" w:lineRule="auto"/>
        <w:jc w:val="both"/>
        <w:rPr>
          <w:rFonts w:ascii="Calibri" w:hAnsi="Calibri" w:cs="Calibri"/>
          <w:sz w:val="26"/>
          <w:szCs w:val="26"/>
          <w:lang w:val="es-ES_tradnl"/>
        </w:rPr>
      </w:pPr>
    </w:p>
    <w:p w14:paraId="334E3D55" w14:textId="5B2FACD1" w:rsidR="001F0AD3" w:rsidRPr="00361C98" w:rsidRDefault="00B9318F" w:rsidP="69BA681B">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Por otra parte, el efecto de las situaciones de emergencia sobre las poblaciones obligadas a desplazarse es particularmente angustioso. En el mundo hay aproximadamente 83 millones de personas que se han visto obligadas a desplazarse,</w:t>
      </w:r>
      <w:r w:rsidRPr="00361C98">
        <w:rPr>
          <w:rStyle w:val="FootnoteReference"/>
          <w:rFonts w:ascii="Calibri" w:hAnsi="Calibri" w:cs="Calibri"/>
          <w:sz w:val="26"/>
          <w:szCs w:val="26"/>
          <w:lang w:val="es-ES_tradnl"/>
        </w:rPr>
        <w:footnoteReference w:id="7"/>
      </w:r>
      <w:r w:rsidRPr="00361C98">
        <w:rPr>
          <w:rFonts w:ascii="Calibri" w:hAnsi="Calibri" w:cs="Calibri"/>
          <w:sz w:val="26"/>
          <w:szCs w:val="26"/>
          <w:lang w:val="es-ES_tradnl"/>
        </w:rPr>
        <w:t xml:space="preserve"> de las cuales más de 14 millones son personas con discapacidades, entre ellas personas con ceguera o visión parcial.</w:t>
      </w:r>
      <w:r w:rsidRPr="00361C98">
        <w:rPr>
          <w:rStyle w:val="FootnoteReference"/>
          <w:rFonts w:ascii="Calibri" w:hAnsi="Calibri" w:cs="Calibri"/>
          <w:sz w:val="26"/>
          <w:szCs w:val="26"/>
          <w:lang w:val="es-ES_tradnl"/>
        </w:rPr>
        <w:footnoteReference w:id="8"/>
      </w:r>
      <w:r w:rsidRPr="00361C98">
        <w:rPr>
          <w:rFonts w:ascii="Calibri" w:hAnsi="Calibri" w:cs="Calibri"/>
          <w:sz w:val="26"/>
          <w:szCs w:val="26"/>
          <w:lang w:val="es-ES_tradnl"/>
        </w:rPr>
        <w:t xml:space="preserve"> La considerable proporción de niños desplazados, unos 43,3 millones en 2022,</w:t>
      </w:r>
      <w:r w:rsidRPr="00361C98">
        <w:rPr>
          <w:rStyle w:val="FootnoteReference"/>
          <w:rFonts w:ascii="Calibri" w:hAnsi="Calibri" w:cs="Calibri"/>
          <w:sz w:val="26"/>
          <w:szCs w:val="26"/>
          <w:lang w:val="es-ES_tradnl"/>
        </w:rPr>
        <w:footnoteReference w:id="9"/>
      </w:r>
      <w:r w:rsidRPr="00361C98">
        <w:rPr>
          <w:rFonts w:ascii="Calibri" w:hAnsi="Calibri" w:cs="Calibri"/>
          <w:sz w:val="26"/>
          <w:szCs w:val="26"/>
          <w:lang w:val="es-ES_tradnl"/>
        </w:rPr>
        <w:t xml:space="preserve"> pone de relieve la urgente necesidad de abordar los derechos de este vulnerable grupo demográfico. UNICEF informó en el año 2023 de que los niños con discapacidad que se desplazan se enfrentan a graves privaciones, como un acceso limitado a la educación de calidad, la atención sanitaria, los alimentos y el agua potable.</w:t>
      </w:r>
      <w:r w:rsidRPr="00361C98">
        <w:rPr>
          <w:rStyle w:val="FootnoteReference"/>
          <w:rFonts w:ascii="Calibri" w:hAnsi="Calibri" w:cs="Calibri"/>
          <w:sz w:val="26"/>
          <w:szCs w:val="26"/>
          <w:lang w:val="es-ES_tradnl"/>
        </w:rPr>
        <w:footnoteReference w:id="10"/>
      </w:r>
      <w:r w:rsidRPr="00361C98">
        <w:rPr>
          <w:rFonts w:ascii="Calibri" w:hAnsi="Calibri" w:cs="Calibri"/>
          <w:sz w:val="26"/>
          <w:szCs w:val="26"/>
          <w:lang w:val="es-ES_tradnl"/>
        </w:rPr>
        <w:t xml:space="preserve"> Esto confirma los datos obtenidos anteriormente de que los niños con discapacidad de los campos de refugiados son más vulnerables a la estigmatización, la exclusión, el aislamiento y la violencia.</w:t>
      </w:r>
      <w:r w:rsidRPr="00361C98">
        <w:rPr>
          <w:rStyle w:val="FootnoteReference"/>
          <w:rFonts w:ascii="Calibri" w:hAnsi="Calibri" w:cs="Calibri"/>
          <w:sz w:val="26"/>
          <w:szCs w:val="26"/>
          <w:lang w:val="es-ES_tradnl"/>
        </w:rPr>
        <w:footnoteReference w:id="11"/>
      </w:r>
      <w:r w:rsidRPr="00361C98">
        <w:rPr>
          <w:rFonts w:ascii="Calibri" w:hAnsi="Calibri" w:cs="Calibri"/>
          <w:sz w:val="26"/>
          <w:szCs w:val="26"/>
          <w:lang w:val="es-ES_tradnl"/>
        </w:rPr>
        <w:t xml:space="preserve"> Aunque siguen siendo escasos los datos específicos sobre el número de personas refugiadas o solicitantes de asilo en edad escolar con ceguera o visión parcial, las circunstancias antes descritas magnifican la urgencia de poner en marcha medidas educativas y servicios de asistencia inclusivos para los niños desplazados con ceguera o visión parcial. </w:t>
      </w:r>
    </w:p>
    <w:p w14:paraId="75DBBF2E" w14:textId="77777777" w:rsidR="00C824C4" w:rsidRPr="00361C98" w:rsidRDefault="00C824C4" w:rsidP="69BA681B">
      <w:pPr>
        <w:spacing w:after="0" w:line="276" w:lineRule="auto"/>
        <w:jc w:val="both"/>
        <w:rPr>
          <w:rFonts w:ascii="Calibri" w:hAnsi="Calibri" w:cs="Calibri"/>
          <w:sz w:val="20"/>
          <w:szCs w:val="20"/>
          <w:lang w:val="es-ES_tradnl"/>
        </w:rPr>
      </w:pPr>
    </w:p>
    <w:p w14:paraId="16297957" w14:textId="73BE7035" w:rsidR="00AF6E8E" w:rsidRPr="00361C98" w:rsidRDefault="00093D9F" w:rsidP="00C824C4">
      <w:pPr>
        <w:pStyle w:val="IntenseQuote"/>
        <w:spacing w:before="0"/>
        <w:rPr>
          <w:b/>
          <w:bCs/>
          <w:color w:val="1F3864" w:themeColor="accent1" w:themeShade="80"/>
          <w:sz w:val="28"/>
          <w:szCs w:val="28"/>
          <w:lang w:val="es-ES_tradnl"/>
        </w:rPr>
      </w:pPr>
      <w:r w:rsidRPr="00361C98">
        <w:rPr>
          <w:b/>
          <w:bCs/>
          <w:color w:val="1F3864" w:themeColor="accent1" w:themeShade="80"/>
          <w:sz w:val="28"/>
          <w:szCs w:val="28"/>
          <w:lang w:val="es-ES_tradnl"/>
        </w:rPr>
        <w:t>Los niños y las personas con ceguera o visión parcial tienen derechos en todos los ámbitos, incluso cuando se desplazan por situaciones de emergencia.</w:t>
      </w:r>
    </w:p>
    <w:p w14:paraId="1211B928" w14:textId="60DACE1B" w:rsidR="00AF6E8E" w:rsidRPr="00361C98" w:rsidRDefault="00AF6E8E" w:rsidP="003E36B5">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Es imprescindible abordar estas cuestiones</w:t>
      </w:r>
      <w:r w:rsidR="00F444F3" w:rsidRPr="00361C98">
        <w:rPr>
          <w:rFonts w:ascii="Calibri" w:hAnsi="Calibri" w:cs="Calibri"/>
          <w:sz w:val="26"/>
          <w:szCs w:val="26"/>
          <w:lang w:val="es-ES_tradnl"/>
        </w:rPr>
        <w:t xml:space="preserve"> acuciantes</w:t>
      </w:r>
      <w:r w:rsidRPr="00361C98">
        <w:rPr>
          <w:rFonts w:ascii="Calibri" w:hAnsi="Calibri" w:cs="Calibri"/>
          <w:sz w:val="26"/>
          <w:szCs w:val="26"/>
          <w:lang w:val="es-ES_tradnl"/>
        </w:rPr>
        <w:t xml:space="preserve"> con un sentido de urgencia y determinación. Superar los retos multidisciplinares descritos anteriormente exigiría estrategias integrales y basadas en datos contrastados para garantizar el acceso equitativo a la educación de las personas en edad escolar con ceguera o visión parcial durante las </w:t>
      </w:r>
      <w:r w:rsidRPr="00361C98">
        <w:rPr>
          <w:rFonts w:ascii="Calibri" w:hAnsi="Calibri" w:cs="Calibri"/>
          <w:sz w:val="26"/>
          <w:szCs w:val="26"/>
          <w:lang w:val="es-ES_tradnl"/>
        </w:rPr>
        <w:lastRenderedPageBreak/>
        <w:t>situaciones de emergencia. Es primordial adoptar planes educativos de emergencia que sean inclusivos y que respondan adecuadamente a las necesidades singulares de los alumnos con ceguera o visión parcial en los entornos educativos. Entre otras cosas, es necesario proporcionar información accesible, métodos de aprendizaje alternativos y tecnologías de asistencia adecuadas para cada edad. Los gobiernos también deberían entablar de forma proactiva colaboraciones significativas con las organizaciones que representan a las personas con discapacidades, las entidades no gubernamentales, las autoridades educativas de distintos niveles y otras partes interesadas para, en esencia, aunar conocimientos y recursos para desarrollar e implementar soluciones integrales durante las situaciones de emergencia</w:t>
      </w:r>
      <w:r w:rsidR="005C1DF0" w:rsidRPr="00361C98">
        <w:rPr>
          <w:rFonts w:ascii="Calibri" w:hAnsi="Calibri" w:cs="Calibri"/>
          <w:sz w:val="26"/>
          <w:szCs w:val="26"/>
          <w:lang w:val="es-ES_tradnl"/>
        </w:rPr>
        <w:t xml:space="preserve"> y después de ellas</w:t>
      </w:r>
      <w:r w:rsidRPr="00361C98">
        <w:rPr>
          <w:rFonts w:ascii="Calibri" w:hAnsi="Calibri" w:cs="Calibri"/>
          <w:sz w:val="26"/>
          <w:szCs w:val="26"/>
          <w:lang w:val="es-ES_tradnl"/>
        </w:rPr>
        <w:t>.</w:t>
      </w:r>
    </w:p>
    <w:p w14:paraId="7BCC4F12" w14:textId="77777777" w:rsidR="007473CD" w:rsidRPr="00361C98" w:rsidRDefault="007473CD" w:rsidP="003E36B5">
      <w:pPr>
        <w:spacing w:after="0" w:line="276" w:lineRule="auto"/>
        <w:jc w:val="both"/>
        <w:rPr>
          <w:rFonts w:ascii="Calibri" w:hAnsi="Calibri" w:cs="Calibri"/>
          <w:sz w:val="26"/>
          <w:szCs w:val="26"/>
          <w:lang w:val="es-ES_tradnl"/>
        </w:rPr>
      </w:pPr>
    </w:p>
    <w:p w14:paraId="318B256C" w14:textId="269B12EE" w:rsidR="00C90FC2" w:rsidRPr="00361C98" w:rsidRDefault="00C90FC2" w:rsidP="003E36B5">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 xml:space="preserve">Es fundamental recopilar datos fiables desglosados por discapacidad para comprender el alcance de la repercusión de las situaciones de emergencia en el derecho a la educación de las personas con ceguera o visión parcial. Mediante la recopilación y el seguimiento exhaustivos de datos desglosados por discapacidad, los gobiernos podrán identificar fácilmente las carencias y evaluar la eficacia de las intervenciones, lo que permitirá establecer políticas basadas en datos contrastados y obtener resultados tangibles de los servicios de asistencia específicos para las personas más necesitadas. </w:t>
      </w:r>
    </w:p>
    <w:p w14:paraId="26FA6437" w14:textId="77777777" w:rsidR="002D7F58" w:rsidRPr="00361C98" w:rsidRDefault="002D7F58" w:rsidP="003E36B5">
      <w:pPr>
        <w:spacing w:after="0" w:line="276" w:lineRule="auto"/>
        <w:jc w:val="both"/>
        <w:rPr>
          <w:rFonts w:ascii="Calibri" w:hAnsi="Calibri" w:cs="Calibri"/>
          <w:sz w:val="26"/>
          <w:szCs w:val="26"/>
          <w:lang w:val="es-ES_tradnl"/>
        </w:rPr>
      </w:pPr>
    </w:p>
    <w:p w14:paraId="3E414514" w14:textId="34A3B10D" w:rsidR="008F7D2F" w:rsidRPr="00361C98" w:rsidRDefault="002D7F58" w:rsidP="003E36B5">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Por otra parte, la promoción de la accesibilidad digital y la formación de los educadores en el uso de herramientas y métodos digitales accesibles durante las situaciones de emergencia pueden mejorar significativamente las experiencias de aprendizaje a distancia para las personas con ceguera o visión parcial. La prestación de servicios de asistencia individualizados, como la formación en orientación y movilidad, la enseñanza del braille y la formación en tecnología adaptativa, permitirá a los alumnos con ceguera o visión parcial participar de forma eficaz en el proceso educativo, con lo que podrán adquirir los conocimientos y habilidades necesarios para superar las dificultades y labrarse un futuro más prometedor.</w:t>
      </w:r>
    </w:p>
    <w:p w14:paraId="5B3A864F" w14:textId="77777777" w:rsidR="008F7D2F" w:rsidRPr="00361C98" w:rsidRDefault="008F7D2F" w:rsidP="003E36B5">
      <w:pPr>
        <w:spacing w:after="0" w:line="276" w:lineRule="auto"/>
        <w:jc w:val="both"/>
        <w:rPr>
          <w:rFonts w:ascii="Calibri" w:hAnsi="Calibri" w:cs="Calibri"/>
          <w:sz w:val="26"/>
          <w:szCs w:val="26"/>
          <w:lang w:val="es-ES_tradnl"/>
        </w:rPr>
      </w:pPr>
    </w:p>
    <w:p w14:paraId="5622566E" w14:textId="3758B828" w:rsidR="1E5B6D69" w:rsidRPr="00361C98" w:rsidRDefault="1E5B6D69" w:rsidP="69BA681B">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Tanto la UMC como el ICEVI subrayamos nuestra convicción de que, con el fin de garantizar el derecho a la educación de las personas con ceguera o visión parcial en situaciones de emergencia, es necesario que los gobiernos lideren iniciativas coordinadas. Para ello es necesario promover colaboraciones con diversas partes interesadas, incluidas las organizaciones que representan a las personas con discapacidades. También es muy importante mantener un compromiso inquebrantable con la inclusión total y la participación sustantiva.</w:t>
      </w:r>
    </w:p>
    <w:p w14:paraId="0090085C" w14:textId="5138416F" w:rsidR="69BA681B" w:rsidRPr="00361C98" w:rsidRDefault="69BA681B" w:rsidP="69BA681B">
      <w:pPr>
        <w:spacing w:after="0" w:line="276" w:lineRule="auto"/>
        <w:jc w:val="both"/>
        <w:rPr>
          <w:rFonts w:ascii="Calibri" w:hAnsi="Calibri" w:cs="Calibri"/>
          <w:sz w:val="26"/>
          <w:szCs w:val="26"/>
          <w:lang w:val="es-ES_tradnl"/>
        </w:rPr>
      </w:pPr>
    </w:p>
    <w:p w14:paraId="5343DA64" w14:textId="797399F5" w:rsidR="1E5B6D69" w:rsidRPr="00361C98" w:rsidRDefault="1E5B6D69" w:rsidP="69BA681B">
      <w:pPr>
        <w:spacing w:after="0" w:line="276" w:lineRule="auto"/>
        <w:jc w:val="both"/>
        <w:rPr>
          <w:lang w:val="es-ES_tradnl"/>
        </w:rPr>
      </w:pPr>
      <w:r w:rsidRPr="00361C98">
        <w:rPr>
          <w:rFonts w:ascii="Calibri" w:hAnsi="Calibri" w:cs="Calibri"/>
          <w:sz w:val="26"/>
          <w:szCs w:val="26"/>
          <w:lang w:val="es-ES_tradnl"/>
        </w:rPr>
        <w:lastRenderedPageBreak/>
        <w:t>Sigue siendo primordial que, tanto durante la planificación y la ejecución de las respuestas de emergencia como en la fase de reconstrucción posterior a las situaciones de emergencia, los gobiernos y todas las partes interesadas reconozcan el vínculo intrínseco que existe entre la educación y otros derechos humanos fundamentales. Además, han de reconocer y abordar los distintos retos a los que se enfrentan las personas con discapacidades, en particular aquellas con ceguera o visión parcial. Este reconocimiento supondrá una importante mejora en el planteamiento de las respuestas de emergencia, pues garantizará que no se deje a nadie atrás, ni siquiera en las fases más complicadas de las situaciones de crisis.</w:t>
      </w:r>
    </w:p>
    <w:p w14:paraId="5B0B8A67" w14:textId="5C5D9A76" w:rsidR="69BA681B" w:rsidRPr="00361C98" w:rsidRDefault="69BA681B" w:rsidP="69BA681B">
      <w:pPr>
        <w:spacing w:after="0" w:line="276" w:lineRule="auto"/>
        <w:jc w:val="both"/>
        <w:rPr>
          <w:rFonts w:ascii="Calibri" w:hAnsi="Calibri" w:cs="Calibri"/>
          <w:sz w:val="8"/>
          <w:szCs w:val="8"/>
          <w:lang w:val="es-ES_tradnl"/>
        </w:rPr>
      </w:pPr>
    </w:p>
    <w:p w14:paraId="5004E496" w14:textId="77777777" w:rsidR="0020608D" w:rsidRPr="00361C98" w:rsidRDefault="0020608D" w:rsidP="003E36B5">
      <w:pPr>
        <w:spacing w:after="0" w:line="276" w:lineRule="auto"/>
        <w:jc w:val="both"/>
        <w:rPr>
          <w:rFonts w:ascii="Calibri" w:hAnsi="Calibri" w:cs="Calibri"/>
          <w:sz w:val="28"/>
          <w:szCs w:val="28"/>
          <w:lang w:val="es-ES_tradnl"/>
        </w:rPr>
      </w:pPr>
    </w:p>
    <w:p w14:paraId="6B6A7A8B" w14:textId="556D832D" w:rsidR="007150C6" w:rsidRPr="00361C98" w:rsidRDefault="007150C6" w:rsidP="00CC10BB">
      <w:pPr>
        <w:pStyle w:val="Title"/>
        <w:spacing w:after="240" w:line="276" w:lineRule="auto"/>
        <w:rPr>
          <w:rFonts w:asciiTheme="minorHAnsi" w:hAnsiTheme="minorHAnsi" w:cstheme="minorHAnsi"/>
          <w:b/>
          <w:bCs/>
          <w:color w:val="1F3864" w:themeColor="accent1" w:themeShade="80"/>
          <w:sz w:val="30"/>
          <w:szCs w:val="30"/>
          <w:lang w:val="es-ES_tradnl"/>
        </w:rPr>
      </w:pPr>
      <w:r w:rsidRPr="00361C98">
        <w:rPr>
          <w:rFonts w:asciiTheme="minorHAnsi" w:hAnsiTheme="minorHAnsi" w:cstheme="minorHAnsi"/>
          <w:b/>
          <w:bCs/>
          <w:color w:val="1F3864" w:themeColor="accent1" w:themeShade="80"/>
          <w:sz w:val="30"/>
          <w:szCs w:val="30"/>
          <w:lang w:val="es-ES_tradnl"/>
        </w:rPr>
        <w:t>Acerca de nosotros</w:t>
      </w:r>
    </w:p>
    <w:p w14:paraId="61791A6E" w14:textId="51CB8D26" w:rsidR="00CC10BB" w:rsidRPr="00361C98" w:rsidRDefault="00CC10BB" w:rsidP="007150C6">
      <w:pPr>
        <w:pStyle w:val="Title"/>
        <w:spacing w:line="276" w:lineRule="auto"/>
        <w:rPr>
          <w:rFonts w:ascii="Verdana" w:hAnsi="Verdana"/>
          <w:b/>
          <w:bCs/>
          <w:color w:val="1F3864" w:themeColor="accent1" w:themeShade="80"/>
          <w:sz w:val="26"/>
          <w:szCs w:val="26"/>
          <w:lang w:val="es-ES_tradnl"/>
        </w:rPr>
      </w:pPr>
      <w:r w:rsidRPr="00361C98">
        <w:rPr>
          <w:rFonts w:asciiTheme="minorHAnsi" w:hAnsiTheme="minorHAnsi" w:cstheme="minorHAnsi"/>
          <w:b/>
          <w:bCs/>
          <w:color w:val="1F3864" w:themeColor="accent1" w:themeShade="80"/>
          <w:sz w:val="26"/>
          <w:szCs w:val="26"/>
          <w:lang w:val="es-ES_tradnl"/>
        </w:rPr>
        <w:t>Unión Mundial de Ciegos (UMC)</w:t>
      </w:r>
    </w:p>
    <w:p w14:paraId="71DC2017" w14:textId="1F2788B5" w:rsidR="003413C3" w:rsidRPr="00361C98" w:rsidRDefault="003413C3" w:rsidP="007150C6">
      <w:pPr>
        <w:spacing w:line="276" w:lineRule="auto"/>
        <w:jc w:val="both"/>
        <w:rPr>
          <w:sz w:val="26"/>
          <w:szCs w:val="26"/>
          <w:lang w:val="es-ES_tradnl"/>
        </w:rPr>
      </w:pPr>
      <w:r w:rsidRPr="00361C98">
        <w:rPr>
          <w:rFonts w:ascii="Calibri" w:hAnsi="Calibri"/>
          <w:sz w:val="26"/>
          <w:szCs w:val="26"/>
          <w:lang w:val="es-ES_tradnl"/>
        </w:rPr>
        <w:t xml:space="preserve">La UMC es </w:t>
      </w:r>
      <w:r w:rsidRPr="00361C98">
        <w:rPr>
          <w:sz w:val="26"/>
          <w:szCs w:val="26"/>
          <w:lang w:val="es-ES_tradnl"/>
        </w:rPr>
        <w:t xml:space="preserve">una organización mundial que representa a más de 253 millones de personas con ceguera o visión parcial. Nuestra razón de ser es la creación conjunta de un futuro en el que las personas con ceguera o visión parcial puedan vivir con una participación, una autonomía y una libertad plenas. Nuestro cometido es promover los derechos humanos, capacitar a nuestros miembros y mejorar las condiciones de vida de todas las personas con ceguera o visión parcial a nivel mundial. Nuestro trabajo se sustenta en la profunda convicción de que la aplicación y el cumplimiento de la CRPD en su totalidad propiciarán una sociedad más inclusiva, accesible y equitativa. Somos uno de los miembros fundadores de la Alianza Internacional de la Discapacidad (AID) y también formamos parte de su junta directiva. </w:t>
      </w:r>
    </w:p>
    <w:p w14:paraId="700E3EE8" w14:textId="483F5BF8" w:rsidR="007150C6" w:rsidRPr="00361C98" w:rsidRDefault="007150C6" w:rsidP="007150C6">
      <w:pPr>
        <w:pStyle w:val="Title"/>
        <w:spacing w:line="276" w:lineRule="auto"/>
        <w:rPr>
          <w:rFonts w:ascii="Verdana" w:hAnsi="Verdana"/>
          <w:b/>
          <w:bCs/>
          <w:color w:val="1F3864" w:themeColor="accent1" w:themeShade="80"/>
          <w:sz w:val="26"/>
          <w:szCs w:val="26"/>
          <w:lang w:val="es-ES_tradnl"/>
        </w:rPr>
      </w:pPr>
      <w:r w:rsidRPr="00361C98">
        <w:rPr>
          <w:rFonts w:asciiTheme="minorHAnsi" w:hAnsiTheme="minorHAnsi" w:cstheme="minorBidi"/>
          <w:b/>
          <w:bCs/>
          <w:color w:val="1F3864" w:themeColor="accent1" w:themeShade="80"/>
          <w:sz w:val="26"/>
          <w:szCs w:val="26"/>
          <w:lang w:val="es-ES_tradnl"/>
        </w:rPr>
        <w:t>Consejo Internacional para la Educación de las Personas con Discapacidades Visuales (ICEVI)</w:t>
      </w:r>
    </w:p>
    <w:p w14:paraId="3D824FCC" w14:textId="3BEBECAC" w:rsidR="765D8135" w:rsidRPr="00361C98" w:rsidRDefault="765D8135" w:rsidP="00A6678C">
      <w:pPr>
        <w:spacing w:line="276" w:lineRule="auto"/>
        <w:jc w:val="both"/>
        <w:rPr>
          <w:sz w:val="28"/>
          <w:szCs w:val="28"/>
          <w:lang w:val="es-ES_tradnl"/>
        </w:rPr>
      </w:pPr>
      <w:r w:rsidRPr="00361C98">
        <w:rPr>
          <w:rFonts w:ascii="Calibri" w:hAnsi="Calibri" w:cs="Calibri"/>
          <w:sz w:val="26"/>
          <w:szCs w:val="26"/>
          <w:lang w:val="es-ES_tradnl"/>
        </w:rPr>
        <w:t>La razón de ser del ICEVI es promover el derecho de las personas con ceguera o visión parcial a acceder a una educación inclusiva, equitativa y de calidad. Como red mundial de afiliados, el ICEVI cumple su cometido con la firme convicción de que todas las personas con ceguera o visión parcial, así como sus familias, tienen derecho a (1) recibir una gama integral de servicios educativos y a participar en los programas educativos de sus respectivos países y comunidades</w:t>
      </w:r>
      <w:r w:rsidR="00357D53" w:rsidRPr="00361C98">
        <w:rPr>
          <w:rFonts w:ascii="Calibri" w:hAnsi="Calibri" w:cs="Calibri"/>
          <w:sz w:val="26"/>
          <w:szCs w:val="26"/>
          <w:lang w:val="es-ES_tradnl"/>
        </w:rPr>
        <w:t>;</w:t>
      </w:r>
      <w:r w:rsidRPr="00361C98">
        <w:rPr>
          <w:rFonts w:ascii="Calibri" w:hAnsi="Calibri" w:cs="Calibri"/>
          <w:sz w:val="26"/>
          <w:szCs w:val="26"/>
          <w:lang w:val="es-ES_tradnl"/>
        </w:rPr>
        <w:t xml:space="preserve"> (2) contar con una intervención temprana, desarrollo en la primera infancia y atención y educación preescolar; (3) recibir el apoyo de profesores y otros profesionales debidamente cualificados; (4) que se realicen ajustes razonables para satisfacer sus necesidades, incluidos materiales educativos accesibles, tecnología mejorada, métodos y programas de enseñanza de alta calidad y conformes a los procedimientos recomendados; (5) vivir en entornos </w:t>
      </w:r>
      <w:r w:rsidR="00357D53" w:rsidRPr="00361C98">
        <w:rPr>
          <w:rFonts w:ascii="Calibri" w:hAnsi="Calibri" w:cs="Calibri"/>
          <w:sz w:val="26"/>
          <w:szCs w:val="26"/>
          <w:lang w:val="es-ES_tradnl"/>
        </w:rPr>
        <w:t>sin obstáculos</w:t>
      </w:r>
      <w:r w:rsidRPr="00361C98">
        <w:rPr>
          <w:rFonts w:ascii="Calibri" w:hAnsi="Calibri" w:cs="Calibri"/>
          <w:sz w:val="26"/>
          <w:szCs w:val="26"/>
          <w:lang w:val="es-ES_tradnl"/>
        </w:rPr>
        <w:t xml:space="preserve">, estigmas sociales y estereotipos; y (6) llevar una vida productiva, de acuerdo con sus aspiraciones y capacidades, sin sufrir discriminación y en condiciones de igualdad de oportunidades.  </w:t>
      </w:r>
    </w:p>
    <w:p w14:paraId="4782629F" w14:textId="77777777" w:rsidR="007150C6" w:rsidRPr="00361C98" w:rsidRDefault="007150C6" w:rsidP="003413C3">
      <w:pPr>
        <w:spacing w:line="276" w:lineRule="auto"/>
        <w:jc w:val="both"/>
        <w:rPr>
          <w:sz w:val="12"/>
          <w:szCs w:val="12"/>
          <w:lang w:val="es-ES_tradnl"/>
        </w:rPr>
      </w:pPr>
    </w:p>
    <w:p w14:paraId="0A3C02E5" w14:textId="567364E5" w:rsidR="00F3053D" w:rsidRPr="00361C98" w:rsidRDefault="00F3053D" w:rsidP="00F3053D">
      <w:pPr>
        <w:pStyle w:val="Title"/>
        <w:spacing w:after="240" w:line="276" w:lineRule="auto"/>
        <w:rPr>
          <w:rFonts w:ascii="Verdana" w:hAnsi="Verdana"/>
          <w:b/>
          <w:bCs/>
          <w:color w:val="1F3864" w:themeColor="accent1" w:themeShade="80"/>
          <w:sz w:val="30"/>
          <w:szCs w:val="30"/>
          <w:lang w:val="es-ES_tradnl"/>
        </w:rPr>
      </w:pPr>
      <w:r w:rsidRPr="00361C98">
        <w:rPr>
          <w:rFonts w:asciiTheme="minorHAnsi" w:hAnsiTheme="minorHAnsi" w:cstheme="minorHAnsi"/>
          <w:b/>
          <w:bCs/>
          <w:color w:val="1F3864" w:themeColor="accent1" w:themeShade="80"/>
          <w:sz w:val="30"/>
          <w:szCs w:val="30"/>
          <w:lang w:val="es-ES_tradnl"/>
        </w:rPr>
        <w:lastRenderedPageBreak/>
        <w:t xml:space="preserve">Contacto </w:t>
      </w:r>
    </w:p>
    <w:p w14:paraId="35D6BDCC" w14:textId="0D54CD17" w:rsidR="00F3053D" w:rsidRPr="00361C98" w:rsidRDefault="00361A13" w:rsidP="00361A13">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Director general</w:t>
      </w:r>
      <w:r w:rsidRPr="00361C98">
        <w:rPr>
          <w:rFonts w:ascii="Calibri" w:hAnsi="Calibri" w:cs="Calibri"/>
          <w:sz w:val="26"/>
          <w:szCs w:val="26"/>
          <w:lang w:val="es-ES_tradnl"/>
        </w:rPr>
        <w:tab/>
      </w:r>
      <w:r w:rsidRPr="00361C98">
        <w:rPr>
          <w:rFonts w:ascii="Calibri" w:hAnsi="Calibri" w:cs="Calibri"/>
          <w:sz w:val="26"/>
          <w:szCs w:val="26"/>
          <w:lang w:val="es-ES_tradnl"/>
        </w:rPr>
        <w:tab/>
      </w:r>
      <w:r w:rsidRPr="00361C98">
        <w:rPr>
          <w:rFonts w:ascii="Calibri" w:hAnsi="Calibri" w:cs="Calibri"/>
          <w:sz w:val="26"/>
          <w:szCs w:val="26"/>
          <w:lang w:val="es-ES_tradnl"/>
        </w:rPr>
        <w:tab/>
      </w:r>
      <w:r w:rsidRPr="00361C98">
        <w:rPr>
          <w:rFonts w:ascii="Calibri" w:hAnsi="Calibri" w:cs="Calibri"/>
          <w:sz w:val="26"/>
          <w:szCs w:val="26"/>
          <w:lang w:val="es-ES_tradnl"/>
        </w:rPr>
        <w:tab/>
      </w:r>
      <w:r w:rsidRPr="00361C98">
        <w:rPr>
          <w:rFonts w:ascii="Calibri" w:hAnsi="Calibri" w:cs="Calibri"/>
          <w:sz w:val="26"/>
          <w:szCs w:val="26"/>
          <w:lang w:val="es-ES_tradnl"/>
        </w:rPr>
        <w:tab/>
      </w:r>
    </w:p>
    <w:p w14:paraId="49B08CEE" w14:textId="2418B791" w:rsidR="00361A13" w:rsidRPr="00361C98" w:rsidRDefault="00361A13" w:rsidP="00361A13">
      <w:pPr>
        <w:spacing w:after="0" w:line="276" w:lineRule="auto"/>
        <w:jc w:val="both"/>
        <w:rPr>
          <w:rFonts w:ascii="Calibri" w:hAnsi="Calibri" w:cs="Calibri"/>
          <w:sz w:val="26"/>
          <w:szCs w:val="26"/>
          <w:lang w:val="es-ES_tradnl"/>
        </w:rPr>
      </w:pPr>
      <w:r w:rsidRPr="00361C98">
        <w:rPr>
          <w:rFonts w:ascii="Calibri" w:hAnsi="Calibri" w:cs="Calibri"/>
          <w:sz w:val="26"/>
          <w:szCs w:val="26"/>
          <w:lang w:val="es-ES_tradnl"/>
        </w:rPr>
        <w:t>Unión Mundial de Ciegos (UMC)</w:t>
      </w:r>
    </w:p>
    <w:p w14:paraId="5CECAE52" w14:textId="11F9ACC0" w:rsidR="00617BB2" w:rsidRPr="00361C98" w:rsidRDefault="00361A13" w:rsidP="003E36B5">
      <w:pPr>
        <w:spacing w:after="0" w:line="276" w:lineRule="auto"/>
        <w:jc w:val="both"/>
        <w:rPr>
          <w:sz w:val="26"/>
          <w:szCs w:val="26"/>
          <w:lang w:val="es-ES_tradnl"/>
        </w:rPr>
      </w:pPr>
      <w:r w:rsidRPr="00361C98">
        <w:rPr>
          <w:sz w:val="26"/>
          <w:szCs w:val="26"/>
          <w:lang w:val="es-ES_tradnl"/>
        </w:rPr>
        <w:t xml:space="preserve">Correo electrónico: </w:t>
      </w:r>
      <w:hyperlink r:id="rId11" w:history="1">
        <w:r w:rsidRPr="00361C98">
          <w:rPr>
            <w:rStyle w:val="Hyperlink"/>
            <w:sz w:val="26"/>
            <w:szCs w:val="26"/>
            <w:lang w:val="es-ES_tradnl"/>
          </w:rPr>
          <w:t>info@wbu.ngo</w:t>
        </w:r>
      </w:hyperlink>
    </w:p>
    <w:p w14:paraId="5C001CD7" w14:textId="64E3610B" w:rsidR="00F05EC4" w:rsidRPr="00361C98" w:rsidRDefault="00201E20" w:rsidP="003E36B5">
      <w:pPr>
        <w:spacing w:after="0" w:line="276" w:lineRule="auto"/>
        <w:jc w:val="both"/>
        <w:rPr>
          <w:sz w:val="26"/>
          <w:szCs w:val="26"/>
          <w:lang w:val="es-ES_tradnl"/>
        </w:rPr>
      </w:pPr>
      <w:r w:rsidRPr="00361C98">
        <w:rPr>
          <w:sz w:val="26"/>
          <w:szCs w:val="26"/>
          <w:lang w:val="es-ES_tradnl"/>
        </w:rPr>
        <w:t>URL</w:t>
      </w:r>
      <w:r w:rsidR="000C5A26" w:rsidRPr="00361C98">
        <w:rPr>
          <w:sz w:val="26"/>
          <w:szCs w:val="26"/>
          <w:lang w:val="es-ES_tradnl"/>
        </w:rPr>
        <w:t xml:space="preserve">: </w:t>
      </w:r>
      <w:hyperlink r:id="rId12" w:history="1">
        <w:r w:rsidR="000C5A26" w:rsidRPr="00361C98">
          <w:rPr>
            <w:rStyle w:val="Hyperlink"/>
            <w:sz w:val="26"/>
            <w:szCs w:val="26"/>
            <w:lang w:val="es-ES_tradnl"/>
          </w:rPr>
          <w:t>https://www.worldblindunion.org</w:t>
        </w:r>
      </w:hyperlink>
      <w:r w:rsidR="000C5A26" w:rsidRPr="00361C98">
        <w:rPr>
          <w:sz w:val="26"/>
          <w:szCs w:val="26"/>
          <w:lang w:val="es-ES_tradnl"/>
        </w:rPr>
        <w:t xml:space="preserve"> </w:t>
      </w:r>
    </w:p>
    <w:p w14:paraId="64A0C77E" w14:textId="4CC19134" w:rsidR="00F05EC4" w:rsidRPr="00361C98" w:rsidRDefault="00F05EC4" w:rsidP="003E36B5">
      <w:pPr>
        <w:spacing w:after="0" w:line="276" w:lineRule="auto"/>
        <w:jc w:val="both"/>
        <w:rPr>
          <w:sz w:val="26"/>
          <w:szCs w:val="26"/>
          <w:lang w:val="es-ES_tradnl"/>
        </w:rPr>
      </w:pPr>
      <w:r w:rsidRPr="00361C98">
        <w:rPr>
          <w:sz w:val="26"/>
          <w:szCs w:val="26"/>
          <w:lang w:val="es-ES_tradnl"/>
        </w:rPr>
        <w:t>Director general</w:t>
      </w:r>
    </w:p>
    <w:p w14:paraId="60555E95" w14:textId="330B9F60" w:rsidR="00F05EC4" w:rsidRPr="00361C98" w:rsidRDefault="00F05EC4" w:rsidP="003E36B5">
      <w:pPr>
        <w:spacing w:after="0" w:line="276" w:lineRule="auto"/>
        <w:jc w:val="both"/>
        <w:rPr>
          <w:sz w:val="26"/>
          <w:szCs w:val="26"/>
          <w:lang w:val="es-ES_tradnl"/>
        </w:rPr>
      </w:pPr>
      <w:r w:rsidRPr="00361C98">
        <w:rPr>
          <w:sz w:val="26"/>
          <w:szCs w:val="26"/>
          <w:lang w:val="es-ES_tradnl"/>
        </w:rPr>
        <w:t>Consejo Internacional para la Educación de las Personas con Discapacidades Visuales (ICEVI)</w:t>
      </w:r>
    </w:p>
    <w:p w14:paraId="3E7DB870" w14:textId="266C00ED" w:rsidR="00F05EC4" w:rsidRPr="00361C98" w:rsidRDefault="00F05EC4" w:rsidP="003E36B5">
      <w:pPr>
        <w:spacing w:after="0" w:line="276" w:lineRule="auto"/>
        <w:jc w:val="both"/>
        <w:rPr>
          <w:sz w:val="26"/>
          <w:szCs w:val="26"/>
          <w:lang w:val="es-ES_tradnl"/>
        </w:rPr>
      </w:pPr>
      <w:r w:rsidRPr="00361C98">
        <w:rPr>
          <w:sz w:val="26"/>
          <w:szCs w:val="26"/>
          <w:lang w:val="es-ES_tradnl"/>
        </w:rPr>
        <w:t xml:space="preserve">Correo electrónico: </w:t>
      </w:r>
      <w:hyperlink r:id="rId13" w:history="1">
        <w:r w:rsidRPr="00361C98">
          <w:rPr>
            <w:rStyle w:val="Hyperlink"/>
            <w:sz w:val="26"/>
            <w:szCs w:val="26"/>
            <w:lang w:val="es-ES_tradnl"/>
          </w:rPr>
          <w:t>oficevi@gmail.com</w:t>
        </w:r>
      </w:hyperlink>
    </w:p>
    <w:p w14:paraId="71277EC5" w14:textId="020EC5AE" w:rsidR="00F05EC4" w:rsidRPr="00361C98" w:rsidRDefault="00201E20" w:rsidP="003E36B5">
      <w:pPr>
        <w:spacing w:after="0" w:line="276" w:lineRule="auto"/>
        <w:jc w:val="both"/>
        <w:rPr>
          <w:sz w:val="26"/>
          <w:szCs w:val="26"/>
          <w:lang w:val="es-ES_tradnl"/>
        </w:rPr>
      </w:pPr>
      <w:r w:rsidRPr="00361C98">
        <w:rPr>
          <w:sz w:val="26"/>
          <w:szCs w:val="26"/>
          <w:lang w:val="es-ES_tradnl"/>
        </w:rPr>
        <w:t>URL</w:t>
      </w:r>
      <w:r w:rsidR="00F05EC4" w:rsidRPr="00361C98">
        <w:rPr>
          <w:sz w:val="26"/>
          <w:szCs w:val="26"/>
          <w:lang w:val="es-ES_tradnl"/>
        </w:rPr>
        <w:t xml:space="preserve">: </w:t>
      </w:r>
      <w:hyperlink r:id="rId14" w:history="1">
        <w:r w:rsidR="00F05EC4" w:rsidRPr="00361C98">
          <w:rPr>
            <w:rStyle w:val="Hyperlink"/>
            <w:sz w:val="26"/>
            <w:szCs w:val="26"/>
            <w:lang w:val="es-ES_tradnl"/>
          </w:rPr>
          <w:t>https://www.icevi.org</w:t>
        </w:r>
      </w:hyperlink>
      <w:r w:rsidR="00F05EC4" w:rsidRPr="00361C98">
        <w:rPr>
          <w:sz w:val="26"/>
          <w:szCs w:val="26"/>
          <w:lang w:val="es-ES_tradnl"/>
        </w:rPr>
        <w:t xml:space="preserve"> </w:t>
      </w:r>
    </w:p>
    <w:sectPr w:rsidR="00F05EC4" w:rsidRPr="00361C98" w:rsidSect="003C5EF1">
      <w:headerReference w:type="default" r:id="rId15"/>
      <w:footerReference w:type="default" r:id="rId16"/>
      <w:pgSz w:w="12240" w:h="15840"/>
      <w:pgMar w:top="1350" w:right="1170" w:bottom="810" w:left="1260" w:header="720" w:footer="5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9B8B" w14:textId="77777777" w:rsidR="00421C64" w:rsidRDefault="00421C64" w:rsidP="00A73D51">
      <w:pPr>
        <w:spacing w:after="0" w:line="240" w:lineRule="auto"/>
      </w:pPr>
      <w:r>
        <w:separator/>
      </w:r>
    </w:p>
  </w:endnote>
  <w:endnote w:type="continuationSeparator" w:id="0">
    <w:p w14:paraId="6346ECA8" w14:textId="77777777" w:rsidR="00421C64" w:rsidRDefault="00421C64" w:rsidP="00A7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450754"/>
      <w:docPartObj>
        <w:docPartGallery w:val="Page Numbers (Bottom of Page)"/>
        <w:docPartUnique/>
      </w:docPartObj>
    </w:sdtPr>
    <w:sdtContent>
      <w:sdt>
        <w:sdtPr>
          <w:id w:val="-1705238520"/>
          <w:docPartObj>
            <w:docPartGallery w:val="Page Numbers (Top of Page)"/>
            <w:docPartUnique/>
          </w:docPartObj>
        </w:sdtPr>
        <w:sdtContent>
          <w:p w14:paraId="4F13DF39" w14:textId="20BD3B54" w:rsidR="00A73D51" w:rsidRDefault="00A73D51" w:rsidP="00A73D51">
            <w:pPr>
              <w:pStyle w:val="Footer"/>
              <w:jc w:val="center"/>
            </w:pPr>
            <w:r>
              <w:rPr>
                <w:lang w:val="es-ES"/>
              </w:rPr>
              <w:t xml:space="preserve">Página </w:t>
            </w:r>
            <w:r>
              <w:rPr>
                <w:sz w:val="24"/>
                <w:szCs w:val="24"/>
                <w:lang w:val="es-ES"/>
              </w:rPr>
              <w:fldChar w:fldCharType="begin"/>
            </w:r>
            <w:r>
              <w:rPr>
                <w:lang w:val="es-ES"/>
              </w:rPr>
              <w:instrText xml:space="preserve"> PAGE </w:instrText>
            </w:r>
            <w:r>
              <w:rPr>
                <w:sz w:val="24"/>
                <w:szCs w:val="24"/>
                <w:lang w:val="es-ES"/>
              </w:rPr>
              <w:fldChar w:fldCharType="separate"/>
            </w:r>
            <w:r>
              <w:rPr>
                <w:b/>
                <w:bCs/>
                <w:noProof/>
                <w:lang w:val="es-ES"/>
              </w:rPr>
              <w:t>2</w:t>
            </w:r>
            <w:r>
              <w:rPr>
                <w:sz w:val="24"/>
                <w:szCs w:val="24"/>
                <w:lang w:val="es-ES"/>
              </w:rPr>
              <w:fldChar w:fldCharType="end"/>
            </w:r>
            <w:r>
              <w:rPr>
                <w:lang w:val="es-ES"/>
              </w:rPr>
              <w:t xml:space="preserve"> de </w:t>
            </w:r>
            <w:r>
              <w:rPr>
                <w:sz w:val="24"/>
                <w:szCs w:val="24"/>
                <w:lang w:val="es-ES"/>
              </w:rPr>
              <w:fldChar w:fldCharType="begin"/>
            </w:r>
            <w:r>
              <w:rPr>
                <w:lang w:val="es-ES"/>
              </w:rPr>
              <w:instrText xml:space="preserve"> NUMPAGES  </w:instrText>
            </w:r>
            <w:r>
              <w:rPr>
                <w:sz w:val="24"/>
                <w:szCs w:val="24"/>
                <w:lang w:val="es-ES"/>
              </w:rPr>
              <w:fldChar w:fldCharType="separate"/>
            </w:r>
            <w:r>
              <w:rPr>
                <w:b/>
                <w:bCs/>
                <w:noProof/>
                <w:lang w:val="es-ES"/>
              </w:rPr>
              <w:t>2</w:t>
            </w:r>
            <w:r>
              <w:rPr>
                <w:sz w:val="24"/>
                <w:szCs w:val="24"/>
                <w:lang w:val="es-ES"/>
              </w:rPr>
              <w:fldChar w:fldCharType="end"/>
            </w:r>
          </w:p>
        </w:sdtContent>
      </w:sdt>
    </w:sdtContent>
  </w:sdt>
  <w:p w14:paraId="45BC646E" w14:textId="77777777" w:rsidR="00A73D51" w:rsidRDefault="00A7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031A" w14:textId="77777777" w:rsidR="00421C64" w:rsidRDefault="00421C64" w:rsidP="00A73D51">
      <w:pPr>
        <w:spacing w:after="0" w:line="240" w:lineRule="auto"/>
      </w:pPr>
      <w:r>
        <w:separator/>
      </w:r>
    </w:p>
  </w:footnote>
  <w:footnote w:type="continuationSeparator" w:id="0">
    <w:p w14:paraId="28643AC3" w14:textId="77777777" w:rsidR="00421C64" w:rsidRDefault="00421C64" w:rsidP="00A73D51">
      <w:pPr>
        <w:spacing w:after="0" w:line="240" w:lineRule="auto"/>
      </w:pPr>
      <w:r>
        <w:continuationSeparator/>
      </w:r>
    </w:p>
  </w:footnote>
  <w:footnote w:id="1">
    <w:p w14:paraId="27416BC4" w14:textId="0BC26028" w:rsidR="002B1417" w:rsidRPr="00361C98" w:rsidRDefault="002B1417">
      <w:pPr>
        <w:pStyle w:val="FootnoteText"/>
        <w:rPr>
          <w:sz w:val="16"/>
          <w:szCs w:val="16"/>
        </w:rPr>
      </w:pPr>
      <w:r w:rsidRPr="00361C98">
        <w:rPr>
          <w:rStyle w:val="FootnoteReference"/>
          <w:sz w:val="16"/>
          <w:szCs w:val="16"/>
          <w:lang w:val="es-ES"/>
        </w:rPr>
        <w:footnoteRef/>
      </w:r>
      <w:r w:rsidRPr="00361C98">
        <w:rPr>
          <w:sz w:val="16"/>
          <w:szCs w:val="16"/>
          <w:lang w:val="es-ES"/>
        </w:rPr>
        <w:t xml:space="preserve"> Véase, por ejemplo, un estudio realizado en 2021 por </w:t>
      </w:r>
      <w:proofErr w:type="spellStart"/>
      <w:r w:rsidRPr="00361C98">
        <w:rPr>
          <w:sz w:val="16"/>
          <w:szCs w:val="16"/>
          <w:lang w:val="es-ES"/>
        </w:rPr>
        <w:t>Voice</w:t>
      </w:r>
      <w:proofErr w:type="spellEnd"/>
      <w:r w:rsidRPr="00361C98">
        <w:rPr>
          <w:sz w:val="16"/>
          <w:szCs w:val="16"/>
          <w:lang w:val="es-ES"/>
        </w:rPr>
        <w:t xml:space="preserve"> of </w:t>
      </w:r>
      <w:proofErr w:type="spellStart"/>
      <w:r w:rsidRPr="00361C98">
        <w:rPr>
          <w:sz w:val="16"/>
          <w:szCs w:val="16"/>
          <w:lang w:val="es-ES"/>
        </w:rPr>
        <w:t>Vision</w:t>
      </w:r>
      <w:proofErr w:type="spellEnd"/>
      <w:r w:rsidRPr="00361C98">
        <w:rPr>
          <w:sz w:val="16"/>
          <w:szCs w:val="16"/>
          <w:lang w:val="es-ES"/>
        </w:rPr>
        <w:t xml:space="preserve"> </w:t>
      </w:r>
      <w:proofErr w:type="spellStart"/>
      <w:r w:rsidRPr="00361C98">
        <w:rPr>
          <w:sz w:val="16"/>
          <w:szCs w:val="16"/>
          <w:lang w:val="es-ES"/>
        </w:rPr>
        <w:t>Impairment</w:t>
      </w:r>
      <w:proofErr w:type="spellEnd"/>
      <w:r w:rsidRPr="00361C98">
        <w:rPr>
          <w:sz w:val="16"/>
          <w:szCs w:val="16"/>
          <w:lang w:val="es-ES"/>
        </w:rPr>
        <w:t xml:space="preserve"> (VVI) en Irlanda, que constató que durante la pandemia de </w:t>
      </w:r>
      <w:r w:rsidR="003F046E" w:rsidRPr="00361C98">
        <w:rPr>
          <w:sz w:val="16"/>
          <w:szCs w:val="16"/>
          <w:lang w:val="es-ES"/>
        </w:rPr>
        <w:t xml:space="preserve">la </w:t>
      </w:r>
      <w:r w:rsidRPr="00361C98">
        <w:rPr>
          <w:sz w:val="16"/>
          <w:szCs w:val="16"/>
          <w:lang w:val="es-ES"/>
        </w:rPr>
        <w:t xml:space="preserve">COVID-19 muchos profesores no tuvieron en cuenta las necesidades de acceso específicas de sus alumnos con ceguera o visión parcial, con el resultado de que las iniciativas de aprendizaje a distancia no fueron eficaces para muchos </w:t>
      </w:r>
      <w:r w:rsidR="003F046E" w:rsidRPr="00361C98">
        <w:rPr>
          <w:sz w:val="16"/>
          <w:szCs w:val="16"/>
          <w:lang w:val="es-ES"/>
        </w:rPr>
        <w:t>de ellos</w:t>
      </w:r>
      <w:r w:rsidRPr="00361C98">
        <w:rPr>
          <w:sz w:val="16"/>
          <w:szCs w:val="16"/>
          <w:lang w:val="es-ES"/>
        </w:rPr>
        <w:t xml:space="preserve">. Entre otros estudios se incluyen los siguientes: S. M. Correa-Torres y A </w:t>
      </w:r>
      <w:proofErr w:type="spellStart"/>
      <w:r w:rsidRPr="00361C98">
        <w:rPr>
          <w:sz w:val="16"/>
          <w:szCs w:val="16"/>
          <w:lang w:val="es-ES"/>
        </w:rPr>
        <w:t>Muthukumaran</w:t>
      </w:r>
      <w:proofErr w:type="spellEnd"/>
      <w:r w:rsidRPr="00361C98">
        <w:rPr>
          <w:sz w:val="16"/>
          <w:szCs w:val="16"/>
          <w:lang w:val="es-ES"/>
        </w:rPr>
        <w:t xml:space="preserve">, </w:t>
      </w:r>
      <w:proofErr w:type="spellStart"/>
      <w:r w:rsidRPr="00361C98">
        <w:rPr>
          <w:i/>
          <w:iCs/>
          <w:sz w:val="16"/>
          <w:szCs w:val="16"/>
          <w:lang w:val="es-ES"/>
        </w:rPr>
        <w:t>Impact</w:t>
      </w:r>
      <w:proofErr w:type="spellEnd"/>
      <w:r w:rsidRPr="00361C98">
        <w:rPr>
          <w:i/>
          <w:iCs/>
          <w:sz w:val="16"/>
          <w:szCs w:val="16"/>
          <w:lang w:val="es-ES"/>
        </w:rPr>
        <w:t xml:space="preserve"> of COVID-19 </w:t>
      </w:r>
      <w:proofErr w:type="spellStart"/>
      <w:r w:rsidRPr="00361C98">
        <w:rPr>
          <w:i/>
          <w:iCs/>
          <w:sz w:val="16"/>
          <w:szCs w:val="16"/>
          <w:lang w:val="es-ES"/>
        </w:rPr>
        <w:t>on</w:t>
      </w:r>
      <w:proofErr w:type="spellEnd"/>
      <w:r w:rsidRPr="00361C98">
        <w:rPr>
          <w:i/>
          <w:iCs/>
          <w:sz w:val="16"/>
          <w:szCs w:val="16"/>
          <w:lang w:val="es-ES"/>
        </w:rPr>
        <w:t xml:space="preserve"> </w:t>
      </w:r>
      <w:proofErr w:type="spellStart"/>
      <w:r w:rsidRPr="00361C98">
        <w:rPr>
          <w:i/>
          <w:iCs/>
          <w:sz w:val="16"/>
          <w:szCs w:val="16"/>
          <w:lang w:val="es-ES"/>
        </w:rPr>
        <w:t>services</w:t>
      </w:r>
      <w:proofErr w:type="spellEnd"/>
      <w:r w:rsidRPr="00361C98">
        <w:rPr>
          <w:i/>
          <w:iCs/>
          <w:sz w:val="16"/>
          <w:szCs w:val="16"/>
          <w:lang w:val="es-ES"/>
        </w:rPr>
        <w:t xml:space="preserve"> for </w:t>
      </w:r>
      <w:proofErr w:type="spellStart"/>
      <w:r w:rsidRPr="00361C98">
        <w:rPr>
          <w:i/>
          <w:iCs/>
          <w:sz w:val="16"/>
          <w:szCs w:val="16"/>
          <w:lang w:val="es-ES"/>
        </w:rPr>
        <w:t>students</w:t>
      </w:r>
      <w:proofErr w:type="spellEnd"/>
      <w:r w:rsidRPr="00361C98">
        <w:rPr>
          <w:i/>
          <w:iCs/>
          <w:sz w:val="16"/>
          <w:szCs w:val="16"/>
          <w:lang w:val="es-ES"/>
        </w:rPr>
        <w:t xml:space="preserve"> </w:t>
      </w:r>
      <w:proofErr w:type="spellStart"/>
      <w:r w:rsidRPr="00361C98">
        <w:rPr>
          <w:i/>
          <w:iCs/>
          <w:sz w:val="16"/>
          <w:szCs w:val="16"/>
          <w:lang w:val="es-ES"/>
        </w:rPr>
        <w:t>with</w:t>
      </w:r>
      <w:proofErr w:type="spellEnd"/>
      <w:r w:rsidRPr="00361C98">
        <w:rPr>
          <w:i/>
          <w:iCs/>
          <w:sz w:val="16"/>
          <w:szCs w:val="16"/>
          <w:lang w:val="es-ES"/>
        </w:rPr>
        <w:t xml:space="preserve"> visual </w:t>
      </w:r>
      <w:proofErr w:type="spellStart"/>
      <w:r w:rsidRPr="00361C98">
        <w:rPr>
          <w:i/>
          <w:iCs/>
          <w:sz w:val="16"/>
          <w:szCs w:val="16"/>
          <w:lang w:val="es-ES"/>
        </w:rPr>
        <w:t>impairment</w:t>
      </w:r>
      <w:proofErr w:type="spellEnd"/>
      <w:r w:rsidRPr="00361C98">
        <w:rPr>
          <w:i/>
          <w:iCs/>
          <w:sz w:val="16"/>
          <w:szCs w:val="16"/>
          <w:lang w:val="es-ES"/>
        </w:rPr>
        <w:t>:</w:t>
      </w:r>
      <w:r w:rsidRPr="00361C98">
        <w:rPr>
          <w:sz w:val="16"/>
          <w:szCs w:val="16"/>
          <w:lang w:val="es-ES"/>
        </w:rPr>
        <w:t xml:space="preserve"> </w:t>
      </w:r>
      <w:proofErr w:type="spellStart"/>
      <w:r w:rsidRPr="00361C98">
        <w:rPr>
          <w:i/>
          <w:iCs/>
          <w:sz w:val="16"/>
          <w:szCs w:val="16"/>
          <w:lang w:val="es-ES"/>
        </w:rPr>
        <w:t>Experiences</w:t>
      </w:r>
      <w:proofErr w:type="spellEnd"/>
      <w:r w:rsidRPr="00361C98">
        <w:rPr>
          <w:i/>
          <w:iCs/>
          <w:sz w:val="16"/>
          <w:szCs w:val="16"/>
          <w:lang w:val="es-ES"/>
        </w:rPr>
        <w:t xml:space="preserve"> and </w:t>
      </w:r>
      <w:proofErr w:type="spellStart"/>
      <w:r w:rsidRPr="00361C98">
        <w:rPr>
          <w:i/>
          <w:iCs/>
          <w:sz w:val="16"/>
          <w:szCs w:val="16"/>
          <w:lang w:val="es-ES"/>
        </w:rPr>
        <w:t>lessons</w:t>
      </w:r>
      <w:proofErr w:type="spellEnd"/>
      <w:r w:rsidRPr="00361C98">
        <w:rPr>
          <w:i/>
          <w:iCs/>
          <w:sz w:val="16"/>
          <w:szCs w:val="16"/>
          <w:lang w:val="es-ES"/>
        </w:rPr>
        <w:t xml:space="preserve"> </w:t>
      </w:r>
      <w:proofErr w:type="spellStart"/>
      <w:r w:rsidRPr="00361C98">
        <w:rPr>
          <w:i/>
          <w:iCs/>
          <w:sz w:val="16"/>
          <w:szCs w:val="16"/>
          <w:lang w:val="es-ES"/>
        </w:rPr>
        <w:t>from</w:t>
      </w:r>
      <w:proofErr w:type="spellEnd"/>
      <w:r w:rsidRPr="00361C98">
        <w:rPr>
          <w:i/>
          <w:iCs/>
          <w:sz w:val="16"/>
          <w:szCs w:val="16"/>
          <w:lang w:val="es-ES"/>
        </w:rPr>
        <w:t xml:space="preserve"> the </w:t>
      </w:r>
      <w:proofErr w:type="spellStart"/>
      <w:r w:rsidRPr="00361C98">
        <w:rPr>
          <w:i/>
          <w:iCs/>
          <w:sz w:val="16"/>
          <w:szCs w:val="16"/>
          <w:lang w:val="es-ES"/>
        </w:rPr>
        <w:t>field</w:t>
      </w:r>
      <w:proofErr w:type="spellEnd"/>
      <w:r w:rsidRPr="00361C98">
        <w:rPr>
          <w:sz w:val="16"/>
          <w:szCs w:val="16"/>
          <w:lang w:val="es-ES"/>
        </w:rPr>
        <w:t xml:space="preserve"> </w:t>
      </w:r>
      <w:r w:rsidRPr="00361C98">
        <w:rPr>
          <w:i/>
          <w:iCs/>
          <w:sz w:val="16"/>
          <w:szCs w:val="16"/>
          <w:lang w:val="es-ES"/>
        </w:rPr>
        <w:t>(Efecto de la COVID-19 en los servicios para alumnos con discapacidad visual: experiencias y lecciones desde el campo)</w:t>
      </w:r>
      <w:r w:rsidRPr="00361C98">
        <w:rPr>
          <w:sz w:val="16"/>
          <w:szCs w:val="16"/>
          <w:lang w:val="es-ES"/>
        </w:rPr>
        <w:t xml:space="preserve"> (2022); y T </w:t>
      </w:r>
      <w:proofErr w:type="spellStart"/>
      <w:r w:rsidRPr="00361C98">
        <w:rPr>
          <w:sz w:val="16"/>
          <w:szCs w:val="16"/>
          <w:lang w:val="es-ES"/>
        </w:rPr>
        <w:t>Suraweera</w:t>
      </w:r>
      <w:proofErr w:type="spellEnd"/>
      <w:r w:rsidRPr="00361C98">
        <w:rPr>
          <w:sz w:val="16"/>
          <w:szCs w:val="16"/>
          <w:lang w:val="es-ES"/>
        </w:rPr>
        <w:t xml:space="preserve">, R </w:t>
      </w:r>
      <w:proofErr w:type="spellStart"/>
      <w:r w:rsidRPr="00361C98">
        <w:rPr>
          <w:sz w:val="16"/>
          <w:szCs w:val="16"/>
          <w:lang w:val="es-ES"/>
        </w:rPr>
        <w:t>Jayathilaka</w:t>
      </w:r>
      <w:proofErr w:type="spellEnd"/>
      <w:r w:rsidRPr="00361C98">
        <w:rPr>
          <w:sz w:val="16"/>
          <w:szCs w:val="16"/>
          <w:lang w:val="es-ES"/>
        </w:rPr>
        <w:t xml:space="preserve"> y T </w:t>
      </w:r>
      <w:proofErr w:type="spellStart"/>
      <w:r w:rsidRPr="00361C98">
        <w:rPr>
          <w:sz w:val="16"/>
          <w:szCs w:val="16"/>
          <w:lang w:val="es-ES"/>
        </w:rPr>
        <w:t>Thelijjagoda</w:t>
      </w:r>
      <w:proofErr w:type="spellEnd"/>
      <w:r w:rsidRPr="00361C98">
        <w:rPr>
          <w:sz w:val="16"/>
          <w:szCs w:val="16"/>
          <w:lang w:val="es-ES"/>
        </w:rPr>
        <w:t xml:space="preserve">, </w:t>
      </w:r>
      <w:r w:rsidRPr="00361C98">
        <w:rPr>
          <w:i/>
          <w:iCs/>
          <w:sz w:val="16"/>
          <w:szCs w:val="16"/>
          <w:lang w:val="es-ES"/>
        </w:rPr>
        <w:t xml:space="preserve">A </w:t>
      </w:r>
      <w:proofErr w:type="spellStart"/>
      <w:r w:rsidRPr="00361C98">
        <w:rPr>
          <w:i/>
          <w:iCs/>
          <w:sz w:val="16"/>
          <w:szCs w:val="16"/>
          <w:lang w:val="es-ES"/>
        </w:rPr>
        <w:t>nightmare</w:t>
      </w:r>
      <w:proofErr w:type="spellEnd"/>
      <w:r w:rsidRPr="00361C98">
        <w:rPr>
          <w:i/>
          <w:iCs/>
          <w:sz w:val="16"/>
          <w:szCs w:val="16"/>
          <w:lang w:val="es-ES"/>
        </w:rPr>
        <w:t xml:space="preserve"> in a ‘</w:t>
      </w:r>
      <w:proofErr w:type="spellStart"/>
      <w:r w:rsidRPr="00361C98">
        <w:rPr>
          <w:i/>
          <w:iCs/>
          <w:sz w:val="16"/>
          <w:szCs w:val="16"/>
          <w:lang w:val="es-ES"/>
        </w:rPr>
        <w:t>darker</w:t>
      </w:r>
      <w:proofErr w:type="spellEnd"/>
      <w:r w:rsidRPr="00361C98">
        <w:rPr>
          <w:i/>
          <w:iCs/>
          <w:sz w:val="16"/>
          <w:szCs w:val="16"/>
          <w:lang w:val="es-ES"/>
        </w:rPr>
        <w:t xml:space="preserve"> </w:t>
      </w:r>
      <w:proofErr w:type="spellStart"/>
      <w:r w:rsidRPr="00361C98">
        <w:rPr>
          <w:i/>
          <w:iCs/>
          <w:sz w:val="16"/>
          <w:szCs w:val="16"/>
          <w:lang w:val="es-ES"/>
        </w:rPr>
        <w:t>world</w:t>
      </w:r>
      <w:proofErr w:type="spellEnd"/>
      <w:r w:rsidRPr="00361C98">
        <w:rPr>
          <w:i/>
          <w:iCs/>
          <w:sz w:val="16"/>
          <w:szCs w:val="16"/>
          <w:lang w:val="es-ES"/>
        </w:rPr>
        <w:t xml:space="preserve">’: </w:t>
      </w:r>
      <w:proofErr w:type="spellStart"/>
      <w:r w:rsidRPr="00361C98">
        <w:rPr>
          <w:i/>
          <w:iCs/>
          <w:sz w:val="16"/>
          <w:szCs w:val="16"/>
          <w:lang w:val="es-ES"/>
        </w:rPr>
        <w:t>persons</w:t>
      </w:r>
      <w:proofErr w:type="spellEnd"/>
      <w:r w:rsidRPr="00361C98">
        <w:rPr>
          <w:i/>
          <w:iCs/>
          <w:sz w:val="16"/>
          <w:szCs w:val="16"/>
          <w:lang w:val="es-ES"/>
        </w:rPr>
        <w:t xml:space="preserve"> </w:t>
      </w:r>
      <w:proofErr w:type="spellStart"/>
      <w:r w:rsidRPr="00361C98">
        <w:rPr>
          <w:i/>
          <w:iCs/>
          <w:sz w:val="16"/>
          <w:szCs w:val="16"/>
          <w:lang w:val="es-ES"/>
        </w:rPr>
        <w:t>with</w:t>
      </w:r>
      <w:proofErr w:type="spellEnd"/>
      <w:r w:rsidRPr="00361C98">
        <w:rPr>
          <w:i/>
          <w:iCs/>
          <w:sz w:val="16"/>
          <w:szCs w:val="16"/>
          <w:lang w:val="es-ES"/>
        </w:rPr>
        <w:t xml:space="preserve"> </w:t>
      </w:r>
      <w:proofErr w:type="spellStart"/>
      <w:r w:rsidRPr="00361C98">
        <w:rPr>
          <w:i/>
          <w:iCs/>
          <w:sz w:val="16"/>
          <w:szCs w:val="16"/>
          <w:lang w:val="es-ES"/>
        </w:rPr>
        <w:t>blindness</w:t>
      </w:r>
      <w:proofErr w:type="spellEnd"/>
      <w:r w:rsidRPr="00361C98">
        <w:rPr>
          <w:i/>
          <w:iCs/>
          <w:sz w:val="16"/>
          <w:szCs w:val="16"/>
          <w:lang w:val="es-ES"/>
        </w:rPr>
        <w:t xml:space="preserve"> </w:t>
      </w:r>
      <w:proofErr w:type="spellStart"/>
      <w:r w:rsidRPr="00361C98">
        <w:rPr>
          <w:i/>
          <w:iCs/>
          <w:sz w:val="16"/>
          <w:szCs w:val="16"/>
          <w:lang w:val="es-ES"/>
        </w:rPr>
        <w:t>under</w:t>
      </w:r>
      <w:proofErr w:type="spellEnd"/>
      <w:r w:rsidRPr="00361C98">
        <w:rPr>
          <w:i/>
          <w:iCs/>
          <w:sz w:val="16"/>
          <w:szCs w:val="16"/>
          <w:lang w:val="es-ES"/>
        </w:rPr>
        <w:t xml:space="preserve"> the Sri </w:t>
      </w:r>
      <w:proofErr w:type="spellStart"/>
      <w:r w:rsidRPr="00361C98">
        <w:rPr>
          <w:i/>
          <w:iCs/>
          <w:sz w:val="16"/>
          <w:szCs w:val="16"/>
          <w:lang w:val="es-ES"/>
        </w:rPr>
        <w:t>Lanka’s</w:t>
      </w:r>
      <w:proofErr w:type="spellEnd"/>
      <w:r w:rsidRPr="00361C98">
        <w:rPr>
          <w:i/>
          <w:iCs/>
          <w:sz w:val="16"/>
          <w:szCs w:val="16"/>
          <w:lang w:val="es-ES"/>
        </w:rPr>
        <w:t xml:space="preserve"> COVID-19 shutdown</w:t>
      </w:r>
      <w:r w:rsidRPr="00361C98">
        <w:rPr>
          <w:sz w:val="16"/>
          <w:szCs w:val="16"/>
          <w:lang w:val="es-ES"/>
        </w:rPr>
        <w:t xml:space="preserve"> </w:t>
      </w:r>
      <w:r w:rsidRPr="00361C98">
        <w:rPr>
          <w:i/>
          <w:iCs/>
          <w:sz w:val="16"/>
          <w:szCs w:val="16"/>
          <w:lang w:val="es-ES"/>
        </w:rPr>
        <w:t xml:space="preserve">(Una pesadilla en un "mundo más oscuro": las personas con ceguera en el marco de la paralización por </w:t>
      </w:r>
      <w:r w:rsidR="00B07F62">
        <w:rPr>
          <w:i/>
          <w:iCs/>
          <w:sz w:val="16"/>
          <w:szCs w:val="16"/>
          <w:lang w:val="es-ES"/>
        </w:rPr>
        <w:t xml:space="preserve">la </w:t>
      </w:r>
      <w:r w:rsidRPr="00361C98">
        <w:rPr>
          <w:i/>
          <w:iCs/>
          <w:sz w:val="16"/>
          <w:szCs w:val="16"/>
          <w:lang w:val="es-ES"/>
        </w:rPr>
        <w:t>COVID-19 de Sri Lanka)</w:t>
      </w:r>
      <w:r w:rsidRPr="00361C98">
        <w:rPr>
          <w:sz w:val="16"/>
          <w:szCs w:val="16"/>
          <w:lang w:val="es-ES"/>
        </w:rPr>
        <w:t xml:space="preserve"> (2021).</w:t>
      </w:r>
    </w:p>
  </w:footnote>
  <w:footnote w:id="2">
    <w:p w14:paraId="4450551B" w14:textId="3F0B68E4" w:rsidR="00BC34F6" w:rsidRPr="00361C98" w:rsidRDefault="00BC34F6">
      <w:pPr>
        <w:pStyle w:val="FootnoteText"/>
        <w:rPr>
          <w:sz w:val="16"/>
          <w:szCs w:val="16"/>
        </w:rPr>
      </w:pPr>
      <w:r w:rsidRPr="00361C98">
        <w:rPr>
          <w:rStyle w:val="FootnoteReference"/>
          <w:sz w:val="16"/>
          <w:szCs w:val="16"/>
          <w:lang w:val="es-ES"/>
        </w:rPr>
        <w:footnoteRef/>
      </w:r>
      <w:r w:rsidRPr="00361C98">
        <w:rPr>
          <w:sz w:val="16"/>
          <w:szCs w:val="16"/>
          <w:lang w:val="es-ES"/>
        </w:rPr>
        <w:t xml:space="preserve"> UNICEF, </w:t>
      </w:r>
      <w:proofErr w:type="spellStart"/>
      <w:r w:rsidRPr="00361C98">
        <w:rPr>
          <w:i/>
          <w:iCs/>
          <w:sz w:val="16"/>
          <w:szCs w:val="16"/>
          <w:lang w:val="es-ES"/>
        </w:rPr>
        <w:t>Seen</w:t>
      </w:r>
      <w:proofErr w:type="spellEnd"/>
      <w:r w:rsidRPr="00361C98">
        <w:rPr>
          <w:i/>
          <w:iCs/>
          <w:sz w:val="16"/>
          <w:szCs w:val="16"/>
          <w:lang w:val="es-ES"/>
        </w:rPr>
        <w:t xml:space="preserve">, </w:t>
      </w:r>
      <w:proofErr w:type="spellStart"/>
      <w:r w:rsidRPr="00361C98">
        <w:rPr>
          <w:i/>
          <w:iCs/>
          <w:sz w:val="16"/>
          <w:szCs w:val="16"/>
          <w:lang w:val="es-ES"/>
        </w:rPr>
        <w:t>Counted</w:t>
      </w:r>
      <w:proofErr w:type="spellEnd"/>
      <w:r w:rsidRPr="00361C98">
        <w:rPr>
          <w:i/>
          <w:iCs/>
          <w:sz w:val="16"/>
          <w:szCs w:val="16"/>
          <w:lang w:val="es-ES"/>
        </w:rPr>
        <w:t xml:space="preserve">, </w:t>
      </w:r>
      <w:proofErr w:type="spellStart"/>
      <w:r w:rsidRPr="00361C98">
        <w:rPr>
          <w:i/>
          <w:iCs/>
          <w:sz w:val="16"/>
          <w:szCs w:val="16"/>
          <w:lang w:val="es-ES"/>
        </w:rPr>
        <w:t>Included</w:t>
      </w:r>
      <w:proofErr w:type="spellEnd"/>
      <w:r w:rsidRPr="00361C98">
        <w:rPr>
          <w:i/>
          <w:iCs/>
          <w:sz w:val="16"/>
          <w:szCs w:val="16"/>
          <w:lang w:val="es-ES"/>
        </w:rPr>
        <w:t xml:space="preserve">: </w:t>
      </w:r>
      <w:proofErr w:type="spellStart"/>
      <w:r w:rsidRPr="00361C98">
        <w:rPr>
          <w:i/>
          <w:iCs/>
          <w:sz w:val="16"/>
          <w:szCs w:val="16"/>
          <w:lang w:val="es-ES"/>
        </w:rPr>
        <w:t>Using</w:t>
      </w:r>
      <w:proofErr w:type="spellEnd"/>
      <w:r w:rsidRPr="00361C98">
        <w:rPr>
          <w:i/>
          <w:iCs/>
          <w:sz w:val="16"/>
          <w:szCs w:val="16"/>
          <w:lang w:val="es-ES"/>
        </w:rPr>
        <w:t xml:space="preserve"> data </w:t>
      </w:r>
      <w:proofErr w:type="spellStart"/>
      <w:r w:rsidRPr="00361C98">
        <w:rPr>
          <w:i/>
          <w:iCs/>
          <w:sz w:val="16"/>
          <w:szCs w:val="16"/>
          <w:lang w:val="es-ES"/>
        </w:rPr>
        <w:t>to</w:t>
      </w:r>
      <w:proofErr w:type="spellEnd"/>
      <w:r w:rsidRPr="00361C98">
        <w:rPr>
          <w:i/>
          <w:iCs/>
          <w:sz w:val="16"/>
          <w:szCs w:val="16"/>
          <w:lang w:val="es-ES"/>
        </w:rPr>
        <w:t xml:space="preserve"> </w:t>
      </w:r>
      <w:proofErr w:type="spellStart"/>
      <w:r w:rsidRPr="00361C98">
        <w:rPr>
          <w:i/>
          <w:iCs/>
          <w:sz w:val="16"/>
          <w:szCs w:val="16"/>
          <w:lang w:val="es-ES"/>
        </w:rPr>
        <w:t>shed</w:t>
      </w:r>
      <w:proofErr w:type="spellEnd"/>
      <w:r w:rsidRPr="00361C98">
        <w:rPr>
          <w:i/>
          <w:iCs/>
          <w:sz w:val="16"/>
          <w:szCs w:val="16"/>
          <w:lang w:val="es-ES"/>
        </w:rPr>
        <w:t xml:space="preserve"> light </w:t>
      </w:r>
      <w:proofErr w:type="spellStart"/>
      <w:r w:rsidRPr="00361C98">
        <w:rPr>
          <w:i/>
          <w:iCs/>
          <w:sz w:val="16"/>
          <w:szCs w:val="16"/>
          <w:lang w:val="es-ES"/>
        </w:rPr>
        <w:t>on</w:t>
      </w:r>
      <w:proofErr w:type="spellEnd"/>
      <w:r w:rsidRPr="00361C98">
        <w:rPr>
          <w:i/>
          <w:iCs/>
          <w:sz w:val="16"/>
          <w:szCs w:val="16"/>
          <w:lang w:val="es-ES"/>
        </w:rPr>
        <w:t xml:space="preserve"> the </w:t>
      </w:r>
      <w:proofErr w:type="spellStart"/>
      <w:r w:rsidRPr="00361C98">
        <w:rPr>
          <w:i/>
          <w:iCs/>
          <w:sz w:val="16"/>
          <w:szCs w:val="16"/>
          <w:lang w:val="es-ES"/>
        </w:rPr>
        <w:t>well-being</w:t>
      </w:r>
      <w:proofErr w:type="spellEnd"/>
      <w:r w:rsidRPr="00361C98">
        <w:rPr>
          <w:i/>
          <w:iCs/>
          <w:sz w:val="16"/>
          <w:szCs w:val="16"/>
          <w:lang w:val="es-ES"/>
        </w:rPr>
        <w:t xml:space="preserve"> of </w:t>
      </w:r>
      <w:proofErr w:type="spellStart"/>
      <w:r w:rsidRPr="00361C98">
        <w:rPr>
          <w:i/>
          <w:iCs/>
          <w:sz w:val="16"/>
          <w:szCs w:val="16"/>
          <w:lang w:val="es-ES"/>
        </w:rPr>
        <w:t>children</w:t>
      </w:r>
      <w:proofErr w:type="spellEnd"/>
      <w:r w:rsidRPr="00361C98">
        <w:rPr>
          <w:i/>
          <w:iCs/>
          <w:sz w:val="16"/>
          <w:szCs w:val="16"/>
          <w:lang w:val="es-ES"/>
        </w:rPr>
        <w:t xml:space="preserve"> </w:t>
      </w:r>
      <w:proofErr w:type="spellStart"/>
      <w:r w:rsidRPr="00361C98">
        <w:rPr>
          <w:i/>
          <w:iCs/>
          <w:sz w:val="16"/>
          <w:szCs w:val="16"/>
          <w:lang w:val="es-ES"/>
        </w:rPr>
        <w:t>with</w:t>
      </w:r>
      <w:proofErr w:type="spellEnd"/>
      <w:r w:rsidRPr="00361C98">
        <w:rPr>
          <w:i/>
          <w:iCs/>
          <w:sz w:val="16"/>
          <w:szCs w:val="16"/>
          <w:lang w:val="es-ES"/>
        </w:rPr>
        <w:t xml:space="preserve"> </w:t>
      </w:r>
      <w:proofErr w:type="spellStart"/>
      <w:r w:rsidRPr="00361C98">
        <w:rPr>
          <w:i/>
          <w:iCs/>
          <w:sz w:val="16"/>
          <w:szCs w:val="16"/>
          <w:lang w:val="es-ES"/>
        </w:rPr>
        <w:t>disabilities</w:t>
      </w:r>
      <w:proofErr w:type="spellEnd"/>
      <w:r w:rsidRPr="00361C98">
        <w:rPr>
          <w:i/>
          <w:iCs/>
          <w:sz w:val="16"/>
          <w:szCs w:val="16"/>
          <w:lang w:val="es-ES"/>
        </w:rPr>
        <w:t xml:space="preserve"> (Vistos, tenidos en cuenta, incluidos: uso de los datos para arrojar luz sobre el bienestar de los niños con discapacidades), </w:t>
      </w:r>
      <w:r w:rsidRPr="00361C98">
        <w:rPr>
          <w:sz w:val="16"/>
          <w:szCs w:val="16"/>
          <w:lang w:val="es-ES"/>
        </w:rPr>
        <w:t>2021.</w:t>
      </w:r>
    </w:p>
  </w:footnote>
  <w:footnote w:id="3">
    <w:p w14:paraId="5C000FCF" w14:textId="6A411C93" w:rsidR="00545434" w:rsidRPr="00361C98" w:rsidRDefault="00545434">
      <w:pPr>
        <w:pStyle w:val="FootnoteText"/>
        <w:rPr>
          <w:sz w:val="16"/>
          <w:szCs w:val="16"/>
        </w:rPr>
      </w:pPr>
      <w:r w:rsidRPr="00361C98">
        <w:rPr>
          <w:rStyle w:val="FootnoteReference"/>
          <w:sz w:val="16"/>
          <w:szCs w:val="16"/>
          <w:lang w:val="es-ES"/>
        </w:rPr>
        <w:footnoteRef/>
      </w:r>
      <w:r w:rsidRPr="00361C98">
        <w:rPr>
          <w:sz w:val="16"/>
          <w:szCs w:val="16"/>
          <w:lang w:val="es-ES"/>
        </w:rPr>
        <w:t xml:space="preserve"> El Comité de la ONU sobre los Derechos de las Personas con Discapacidad (Comité de la CRPD) destaca en la </w:t>
      </w:r>
      <w:hyperlink r:id="rId1" w:history="1">
        <w:r w:rsidRPr="00361C98">
          <w:rPr>
            <w:rStyle w:val="Hyperlink"/>
            <w:sz w:val="16"/>
            <w:szCs w:val="16"/>
            <w:lang w:val="es-ES"/>
          </w:rPr>
          <w:t>Observación general núm. 4 (2016) sobre el derecho a la educación inclusiva</w:t>
        </w:r>
      </w:hyperlink>
      <w:r w:rsidRPr="00361C98">
        <w:rPr>
          <w:sz w:val="16"/>
          <w:szCs w:val="16"/>
          <w:lang w:val="es-ES"/>
        </w:rPr>
        <w:t xml:space="preserve"> que la educación inclusiva es un medio para hacer realidad otros derechos humanos.</w:t>
      </w:r>
    </w:p>
  </w:footnote>
  <w:footnote w:id="4">
    <w:p w14:paraId="6CBA374D" w14:textId="121E1F87" w:rsidR="00B96463" w:rsidRPr="00361C98" w:rsidRDefault="00B96463" w:rsidP="00DB55E2">
      <w:pPr>
        <w:pStyle w:val="FootnoteText"/>
        <w:jc w:val="both"/>
        <w:rPr>
          <w:sz w:val="16"/>
          <w:szCs w:val="16"/>
        </w:rPr>
      </w:pPr>
      <w:r w:rsidRPr="00361C98">
        <w:rPr>
          <w:rStyle w:val="FootnoteReference"/>
          <w:sz w:val="16"/>
          <w:szCs w:val="16"/>
          <w:lang w:val="es-ES"/>
        </w:rPr>
        <w:footnoteRef/>
      </w:r>
      <w:r w:rsidRPr="00361C98">
        <w:rPr>
          <w:sz w:val="16"/>
          <w:szCs w:val="16"/>
          <w:lang w:val="es-ES"/>
        </w:rPr>
        <w:t xml:space="preserve"> Red Interinstitucional para la Educación en Situaciones de Emergencia (INEE), </w:t>
      </w:r>
      <w:hyperlink r:id="rId2" w:anchor="event-universal-declaration-of-human-rights" w:history="1">
        <w:r w:rsidRPr="00361C98">
          <w:rPr>
            <w:rStyle w:val="Hyperlink"/>
            <w:sz w:val="16"/>
            <w:szCs w:val="16"/>
            <w:lang w:val="es-ES"/>
          </w:rPr>
          <w:t xml:space="preserve">https//www.inee.org/education-in-emergencies#event-universal-declaration-of-human-rights </w:t>
        </w:r>
      </w:hyperlink>
      <w:r w:rsidRPr="00361C98">
        <w:rPr>
          <w:sz w:val="16"/>
          <w:szCs w:val="16"/>
          <w:lang w:val="es-ES"/>
        </w:rPr>
        <w:t xml:space="preserve"> </w:t>
      </w:r>
    </w:p>
  </w:footnote>
  <w:footnote w:id="5">
    <w:p w14:paraId="2550ACFE" w14:textId="11EB8822" w:rsidR="00B96463" w:rsidRPr="00361C98" w:rsidRDefault="00B96463" w:rsidP="00DB55E2">
      <w:pPr>
        <w:pStyle w:val="FootnoteText"/>
        <w:jc w:val="both"/>
        <w:rPr>
          <w:sz w:val="16"/>
          <w:szCs w:val="16"/>
        </w:rPr>
      </w:pPr>
      <w:r w:rsidRPr="00361C98">
        <w:rPr>
          <w:rStyle w:val="FootnoteReference"/>
          <w:sz w:val="16"/>
          <w:szCs w:val="16"/>
          <w:lang w:val="es-ES"/>
        </w:rPr>
        <w:footnoteRef/>
      </w:r>
      <w:r w:rsidRPr="00361C98">
        <w:rPr>
          <w:sz w:val="16"/>
          <w:szCs w:val="16"/>
          <w:lang w:val="es-ES"/>
        </w:rPr>
        <w:t xml:space="preserve"> UNICEF, </w:t>
      </w:r>
      <w:hyperlink r:id="rId3" w:history="1">
        <w:r w:rsidRPr="00361C98">
          <w:rPr>
            <w:rStyle w:val="Hyperlink"/>
            <w:sz w:val="16"/>
            <w:szCs w:val="16"/>
            <w:lang w:val="es-ES"/>
          </w:rPr>
          <w:t>https://www.unicef.org/education/emergencies</w:t>
        </w:r>
      </w:hyperlink>
      <w:r w:rsidRPr="00361C98">
        <w:rPr>
          <w:sz w:val="16"/>
          <w:szCs w:val="16"/>
          <w:lang w:val="es-ES"/>
        </w:rPr>
        <w:t xml:space="preserve"> </w:t>
      </w:r>
    </w:p>
  </w:footnote>
  <w:footnote w:id="6">
    <w:p w14:paraId="239E7465" w14:textId="751ED7C6" w:rsidR="00E76553" w:rsidRDefault="00E76553" w:rsidP="00EB62A9">
      <w:pPr>
        <w:pStyle w:val="FootnoteText"/>
      </w:pPr>
      <w:r w:rsidRPr="00361C98">
        <w:rPr>
          <w:rStyle w:val="FootnoteReference"/>
          <w:sz w:val="16"/>
          <w:szCs w:val="16"/>
          <w:lang w:val="es-ES"/>
        </w:rPr>
        <w:footnoteRef/>
      </w:r>
      <w:r w:rsidRPr="00361C98">
        <w:rPr>
          <w:sz w:val="16"/>
          <w:szCs w:val="16"/>
          <w:lang w:val="es-ES"/>
        </w:rPr>
        <w:t xml:space="preserve"> Comité de la CRPD, Observación general núm. 4, párrafo 14.</w:t>
      </w:r>
    </w:p>
  </w:footnote>
  <w:footnote w:id="7">
    <w:p w14:paraId="22A7D1BA" w14:textId="0DAAB5F0" w:rsidR="00DD74B3" w:rsidRDefault="00DD74B3" w:rsidP="00EB62A9">
      <w:pPr>
        <w:pStyle w:val="FootnoteText"/>
      </w:pPr>
      <w:r>
        <w:rPr>
          <w:rStyle w:val="FootnoteReference"/>
          <w:lang w:val="es-ES"/>
        </w:rPr>
        <w:footnoteRef/>
      </w:r>
      <w:r>
        <w:rPr>
          <w:lang w:val="es-ES"/>
        </w:rPr>
        <w:t xml:space="preserve"> ACNUR, </w:t>
      </w:r>
      <w:hyperlink r:id="rId4" w:history="1">
        <w:r>
          <w:rPr>
            <w:rStyle w:val="Hyperlink"/>
            <w:lang w:val="es-ES"/>
          </w:rPr>
          <w:t>Informe de Educación de 2021: Manteniendo el rumbo: Los desafíos que enfrenta la educación de las personas refugiadas</w:t>
        </w:r>
      </w:hyperlink>
    </w:p>
  </w:footnote>
  <w:footnote w:id="8">
    <w:p w14:paraId="45D3B657" w14:textId="49C23ED0" w:rsidR="00404C3D" w:rsidRDefault="00404C3D" w:rsidP="00EB62A9">
      <w:pPr>
        <w:pStyle w:val="FootnoteText"/>
      </w:pPr>
      <w:r>
        <w:rPr>
          <w:rStyle w:val="FootnoteReference"/>
          <w:lang w:val="es-ES"/>
        </w:rPr>
        <w:footnoteRef/>
      </w:r>
      <w:r>
        <w:rPr>
          <w:lang w:val="es-ES"/>
        </w:rPr>
        <w:t xml:space="preserve"> Comisión para las mujeres desplazadas (2022) </w:t>
      </w:r>
      <w:hyperlink r:id="rId5" w:history="1">
        <w:r>
          <w:rPr>
            <w:rStyle w:val="Hyperlink"/>
            <w:lang w:val="es-ES"/>
          </w:rPr>
          <w:t>https://www.womenrefugeecommission.org/focus-areas-gender-social-inclusion/disability-inclusion</w:t>
        </w:r>
      </w:hyperlink>
      <w:r>
        <w:rPr>
          <w:lang w:val="es-ES"/>
        </w:rPr>
        <w:t xml:space="preserve"> </w:t>
      </w:r>
    </w:p>
  </w:footnote>
  <w:footnote w:id="9">
    <w:p w14:paraId="2D552607" w14:textId="51F8C726" w:rsidR="00392A3B" w:rsidRDefault="00392A3B" w:rsidP="00EB62A9">
      <w:pPr>
        <w:pStyle w:val="FootnoteText"/>
      </w:pPr>
      <w:r>
        <w:rPr>
          <w:rStyle w:val="FootnoteReference"/>
          <w:lang w:val="es-ES"/>
        </w:rPr>
        <w:footnoteRef/>
      </w:r>
      <w:r>
        <w:rPr>
          <w:lang w:val="es-ES"/>
        </w:rPr>
        <w:t xml:space="preserve"> UNICEF, Desplazamiento de niños (junio 2023), </w:t>
      </w:r>
      <w:hyperlink r:id="rId6" w:history="1">
        <w:r>
          <w:rPr>
            <w:rStyle w:val="Hyperlink"/>
            <w:lang w:val="es-ES"/>
          </w:rPr>
          <w:t>https://www.data.unicef.org/topic/child-migration-and-displacement/displacement/</w:t>
        </w:r>
      </w:hyperlink>
      <w:r>
        <w:rPr>
          <w:lang w:val="es-ES"/>
        </w:rPr>
        <w:t xml:space="preserve"> </w:t>
      </w:r>
    </w:p>
  </w:footnote>
  <w:footnote w:id="10">
    <w:p w14:paraId="75000B81" w14:textId="42F244E0" w:rsidR="009C58E9" w:rsidRPr="009C58E9" w:rsidRDefault="009C58E9">
      <w:pPr>
        <w:pStyle w:val="FootnoteText"/>
      </w:pPr>
      <w:r>
        <w:rPr>
          <w:rStyle w:val="FootnoteReference"/>
          <w:lang w:val="es-ES"/>
        </w:rPr>
        <w:footnoteRef/>
      </w:r>
      <w:r>
        <w:rPr>
          <w:lang w:val="es-ES"/>
        </w:rPr>
        <w:t xml:space="preserve"> UNICEF, </w:t>
      </w:r>
      <w:r>
        <w:rPr>
          <w:i/>
          <w:iCs/>
          <w:lang w:val="es-ES"/>
        </w:rPr>
        <w:t>Vistos, tenidos en cuenta, incluidos (ver nota 2 anterior)</w:t>
      </w:r>
    </w:p>
  </w:footnote>
  <w:footnote w:id="11">
    <w:p w14:paraId="15B605B4" w14:textId="4A2545D6" w:rsidR="004F18FA" w:rsidRPr="004F18FA" w:rsidRDefault="004F18FA" w:rsidP="00EB62A9">
      <w:pPr>
        <w:pStyle w:val="FootnoteText"/>
      </w:pPr>
      <w:r>
        <w:rPr>
          <w:rStyle w:val="FootnoteReference"/>
          <w:lang w:val="es-ES"/>
        </w:rPr>
        <w:footnoteRef/>
      </w:r>
      <w:r>
        <w:rPr>
          <w:lang w:val="es-ES"/>
        </w:rPr>
        <w:t xml:space="preserve"> Thomas M. Crea y otros</w:t>
      </w:r>
      <w:r>
        <w:rPr>
          <w:i/>
          <w:iCs/>
          <w:lang w:val="es-ES"/>
        </w:rPr>
        <w:t xml:space="preserve">, Inclusive </w:t>
      </w:r>
      <w:proofErr w:type="spellStart"/>
      <w:r>
        <w:rPr>
          <w:i/>
          <w:iCs/>
          <w:lang w:val="es-ES"/>
        </w:rPr>
        <w:t>education</w:t>
      </w:r>
      <w:proofErr w:type="spellEnd"/>
      <w:r>
        <w:rPr>
          <w:i/>
          <w:iCs/>
          <w:lang w:val="es-ES"/>
        </w:rPr>
        <w:t xml:space="preserve"> in a </w:t>
      </w:r>
      <w:proofErr w:type="spellStart"/>
      <w:r>
        <w:rPr>
          <w:i/>
          <w:iCs/>
          <w:lang w:val="es-ES"/>
        </w:rPr>
        <w:t>refugee</w:t>
      </w:r>
      <w:proofErr w:type="spellEnd"/>
      <w:r>
        <w:rPr>
          <w:i/>
          <w:iCs/>
          <w:lang w:val="es-ES"/>
        </w:rPr>
        <w:t xml:space="preserve"> camp for </w:t>
      </w:r>
      <w:proofErr w:type="spellStart"/>
      <w:r>
        <w:rPr>
          <w:i/>
          <w:iCs/>
          <w:lang w:val="es-ES"/>
        </w:rPr>
        <w:t>children</w:t>
      </w:r>
      <w:proofErr w:type="spellEnd"/>
      <w:r>
        <w:rPr>
          <w:i/>
          <w:iCs/>
          <w:lang w:val="es-ES"/>
        </w:rPr>
        <w:t xml:space="preserve"> </w:t>
      </w:r>
      <w:proofErr w:type="spellStart"/>
      <w:r>
        <w:rPr>
          <w:i/>
          <w:iCs/>
          <w:lang w:val="es-ES"/>
        </w:rPr>
        <w:t>with</w:t>
      </w:r>
      <w:proofErr w:type="spellEnd"/>
      <w:r>
        <w:rPr>
          <w:i/>
          <w:iCs/>
          <w:lang w:val="es-ES"/>
        </w:rPr>
        <w:t xml:space="preserve"> </w:t>
      </w:r>
      <w:proofErr w:type="spellStart"/>
      <w:r>
        <w:rPr>
          <w:i/>
          <w:iCs/>
          <w:lang w:val="es-ES"/>
        </w:rPr>
        <w:t>disabilities</w:t>
      </w:r>
      <w:proofErr w:type="spellEnd"/>
      <w:r>
        <w:rPr>
          <w:i/>
          <w:iCs/>
          <w:lang w:val="es-ES"/>
        </w:rPr>
        <w:t>:</w:t>
      </w:r>
      <w:r>
        <w:rPr>
          <w:lang w:val="es-ES"/>
        </w:rPr>
        <w:t xml:space="preserve"> </w:t>
      </w:r>
      <w:proofErr w:type="spellStart"/>
      <w:r>
        <w:rPr>
          <w:i/>
          <w:iCs/>
          <w:lang w:val="es-ES"/>
        </w:rPr>
        <w:t>How</w:t>
      </w:r>
      <w:proofErr w:type="spellEnd"/>
      <w:r>
        <w:rPr>
          <w:i/>
          <w:iCs/>
          <w:lang w:val="es-ES"/>
        </w:rPr>
        <w:t xml:space="preserve"> are </w:t>
      </w:r>
      <w:proofErr w:type="spellStart"/>
      <w:r>
        <w:rPr>
          <w:i/>
          <w:iCs/>
          <w:lang w:val="es-ES"/>
        </w:rPr>
        <w:t>school</w:t>
      </w:r>
      <w:proofErr w:type="spellEnd"/>
      <w:r>
        <w:rPr>
          <w:i/>
          <w:iCs/>
          <w:lang w:val="es-ES"/>
        </w:rPr>
        <w:t xml:space="preserve"> </w:t>
      </w:r>
      <w:proofErr w:type="spellStart"/>
      <w:r>
        <w:rPr>
          <w:i/>
          <w:iCs/>
          <w:lang w:val="es-ES"/>
        </w:rPr>
        <w:t>setting</w:t>
      </w:r>
      <w:proofErr w:type="spellEnd"/>
      <w:r>
        <w:rPr>
          <w:i/>
          <w:iCs/>
          <w:lang w:val="es-ES"/>
        </w:rPr>
        <w:t xml:space="preserve"> and </w:t>
      </w:r>
      <w:proofErr w:type="spellStart"/>
      <w:r>
        <w:rPr>
          <w:i/>
          <w:iCs/>
          <w:lang w:val="es-ES"/>
        </w:rPr>
        <w:t>children’s</w:t>
      </w:r>
      <w:proofErr w:type="spellEnd"/>
      <w:r>
        <w:rPr>
          <w:i/>
          <w:iCs/>
          <w:lang w:val="es-ES"/>
        </w:rPr>
        <w:t xml:space="preserve"> </w:t>
      </w:r>
      <w:proofErr w:type="spellStart"/>
      <w:r>
        <w:rPr>
          <w:i/>
          <w:iCs/>
          <w:lang w:val="es-ES"/>
        </w:rPr>
        <w:t>behavioral</w:t>
      </w:r>
      <w:proofErr w:type="spellEnd"/>
      <w:r>
        <w:rPr>
          <w:i/>
          <w:iCs/>
          <w:lang w:val="es-ES"/>
        </w:rPr>
        <w:t xml:space="preserve"> </w:t>
      </w:r>
      <w:proofErr w:type="spellStart"/>
      <w:r>
        <w:rPr>
          <w:i/>
          <w:iCs/>
          <w:lang w:val="es-ES"/>
        </w:rPr>
        <w:t>functioning</w:t>
      </w:r>
      <w:proofErr w:type="spellEnd"/>
      <w:r>
        <w:rPr>
          <w:i/>
          <w:iCs/>
          <w:lang w:val="es-ES"/>
        </w:rPr>
        <w:t xml:space="preserve"> </w:t>
      </w:r>
      <w:proofErr w:type="spellStart"/>
      <w:r>
        <w:rPr>
          <w:i/>
          <w:iCs/>
          <w:lang w:val="es-ES"/>
        </w:rPr>
        <w:t>related</w:t>
      </w:r>
      <w:proofErr w:type="spellEnd"/>
      <w:r>
        <w:rPr>
          <w:i/>
          <w:iCs/>
          <w:lang w:val="es-ES"/>
        </w:rPr>
        <w:t>? (Educación inclusiva en un campo de refugiados para niños con discapacidades: ¿qué relación existe entre el entorno escolar y el comportamiento de los niños?)</w:t>
      </w:r>
      <w:r>
        <w:rPr>
          <w:lang w:val="es-ES"/>
        </w:rPr>
        <w:t xml:space="preserve"> (2022) </w:t>
      </w:r>
      <w:hyperlink r:id="rId7" w:history="1">
        <w:r>
          <w:rPr>
            <w:rStyle w:val="Hyperlink"/>
            <w:lang w:val="es-ES"/>
          </w:rPr>
          <w:t>https://www.conflictandhealth.biomedcentral.com/article/10.1186/s13031-022-00486-6</w:t>
        </w:r>
      </w:hyperlink>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D81D" w14:textId="1ABBC3E4" w:rsidR="00A175FB" w:rsidRPr="00A175FB" w:rsidRDefault="00A175FB">
    <w:pPr>
      <w:pStyle w:val="Header"/>
      <w:rPr>
        <w:i/>
        <w:iCs/>
      </w:rPr>
    </w:pPr>
    <w:r>
      <w:rPr>
        <w:i/>
        <w:iCs/>
        <w:lang w:val="es-ES"/>
      </w:rPr>
      <w:t>Declaración de posición de UMC/ICEVI _ educación en situaciones de emergencia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590C"/>
    <w:multiLevelType w:val="hybridMultilevel"/>
    <w:tmpl w:val="C2AE28BE"/>
    <w:lvl w:ilvl="0" w:tplc="0409000F">
      <w:start w:val="1"/>
      <w:numFmt w:val="decimal"/>
      <w:lvlText w:val="%1."/>
      <w:lvlJc w:val="left"/>
      <w:pPr>
        <w:ind w:left="777" w:hanging="360"/>
      </w:pPr>
    </w:lvl>
    <w:lvl w:ilvl="1" w:tplc="04090019">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7C3251E0"/>
    <w:multiLevelType w:val="hybridMultilevel"/>
    <w:tmpl w:val="AB94EDC0"/>
    <w:lvl w:ilvl="0" w:tplc="72407DEA">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3799954">
    <w:abstractNumId w:val="1"/>
  </w:num>
  <w:num w:numId="2" w16cid:durableId="195566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6"/>
    <w:rsid w:val="00023B5E"/>
    <w:rsid w:val="0003490A"/>
    <w:rsid w:val="00090E4B"/>
    <w:rsid w:val="00092C96"/>
    <w:rsid w:val="00093D9F"/>
    <w:rsid w:val="000A26D0"/>
    <w:rsid w:val="000C5A26"/>
    <w:rsid w:val="000D309D"/>
    <w:rsid w:val="000E74B2"/>
    <w:rsid w:val="000E76AB"/>
    <w:rsid w:val="001049BB"/>
    <w:rsid w:val="00111D71"/>
    <w:rsid w:val="0011392A"/>
    <w:rsid w:val="001313DC"/>
    <w:rsid w:val="00146B41"/>
    <w:rsid w:val="00170785"/>
    <w:rsid w:val="001A1A50"/>
    <w:rsid w:val="001C6225"/>
    <w:rsid w:val="001F0AD3"/>
    <w:rsid w:val="00201E20"/>
    <w:rsid w:val="0020608D"/>
    <w:rsid w:val="00213C47"/>
    <w:rsid w:val="002420C4"/>
    <w:rsid w:val="00244032"/>
    <w:rsid w:val="002670AE"/>
    <w:rsid w:val="002862B7"/>
    <w:rsid w:val="002A315F"/>
    <w:rsid w:val="002B1417"/>
    <w:rsid w:val="002D00ED"/>
    <w:rsid w:val="002D7F58"/>
    <w:rsid w:val="002E47A8"/>
    <w:rsid w:val="002E7BF6"/>
    <w:rsid w:val="0030576B"/>
    <w:rsid w:val="003141B7"/>
    <w:rsid w:val="003145F6"/>
    <w:rsid w:val="00316D1C"/>
    <w:rsid w:val="003413C3"/>
    <w:rsid w:val="003421C7"/>
    <w:rsid w:val="0035295F"/>
    <w:rsid w:val="00357D53"/>
    <w:rsid w:val="00361A13"/>
    <w:rsid w:val="00361C98"/>
    <w:rsid w:val="00392A3B"/>
    <w:rsid w:val="00393C80"/>
    <w:rsid w:val="003A0EA9"/>
    <w:rsid w:val="003C5EF1"/>
    <w:rsid w:val="003E36B5"/>
    <w:rsid w:val="003F046E"/>
    <w:rsid w:val="003F2940"/>
    <w:rsid w:val="00404C3D"/>
    <w:rsid w:val="00405B13"/>
    <w:rsid w:val="00407F9A"/>
    <w:rsid w:val="00421C64"/>
    <w:rsid w:val="00452DF2"/>
    <w:rsid w:val="0047690F"/>
    <w:rsid w:val="00476B7B"/>
    <w:rsid w:val="00486339"/>
    <w:rsid w:val="004F18FA"/>
    <w:rsid w:val="0051533D"/>
    <w:rsid w:val="00545434"/>
    <w:rsid w:val="00551CEB"/>
    <w:rsid w:val="00561F40"/>
    <w:rsid w:val="005744EA"/>
    <w:rsid w:val="00584AFD"/>
    <w:rsid w:val="00593E2D"/>
    <w:rsid w:val="0059456F"/>
    <w:rsid w:val="005A30A5"/>
    <w:rsid w:val="005C1DF0"/>
    <w:rsid w:val="005D2F27"/>
    <w:rsid w:val="005E0F92"/>
    <w:rsid w:val="00600500"/>
    <w:rsid w:val="00617BB2"/>
    <w:rsid w:val="006664F3"/>
    <w:rsid w:val="00693839"/>
    <w:rsid w:val="006940A1"/>
    <w:rsid w:val="006B4928"/>
    <w:rsid w:val="006C3217"/>
    <w:rsid w:val="006C9916"/>
    <w:rsid w:val="006E538D"/>
    <w:rsid w:val="007115F7"/>
    <w:rsid w:val="007150C6"/>
    <w:rsid w:val="00730BC9"/>
    <w:rsid w:val="00741E61"/>
    <w:rsid w:val="00742E4E"/>
    <w:rsid w:val="00744E70"/>
    <w:rsid w:val="007473CD"/>
    <w:rsid w:val="00753D10"/>
    <w:rsid w:val="007663A7"/>
    <w:rsid w:val="00792952"/>
    <w:rsid w:val="00805F5D"/>
    <w:rsid w:val="00811923"/>
    <w:rsid w:val="00813819"/>
    <w:rsid w:val="00835AE6"/>
    <w:rsid w:val="00846EFA"/>
    <w:rsid w:val="008B4476"/>
    <w:rsid w:val="008B7F4E"/>
    <w:rsid w:val="008F06A7"/>
    <w:rsid w:val="008F7D2F"/>
    <w:rsid w:val="00911304"/>
    <w:rsid w:val="009424C9"/>
    <w:rsid w:val="00952ADD"/>
    <w:rsid w:val="00975E3A"/>
    <w:rsid w:val="009B58F3"/>
    <w:rsid w:val="009C58E9"/>
    <w:rsid w:val="009E245F"/>
    <w:rsid w:val="009E2CF9"/>
    <w:rsid w:val="00A063DB"/>
    <w:rsid w:val="00A175FB"/>
    <w:rsid w:val="00A27CFD"/>
    <w:rsid w:val="00A6678C"/>
    <w:rsid w:val="00A73D51"/>
    <w:rsid w:val="00A74DD1"/>
    <w:rsid w:val="00A8212B"/>
    <w:rsid w:val="00A84DFC"/>
    <w:rsid w:val="00AC2BE0"/>
    <w:rsid w:val="00AF6E8E"/>
    <w:rsid w:val="00B07F62"/>
    <w:rsid w:val="00B211E8"/>
    <w:rsid w:val="00B237A7"/>
    <w:rsid w:val="00B25E38"/>
    <w:rsid w:val="00B262B7"/>
    <w:rsid w:val="00B50C7A"/>
    <w:rsid w:val="00B91CA3"/>
    <w:rsid w:val="00B9318F"/>
    <w:rsid w:val="00B96463"/>
    <w:rsid w:val="00B97EB1"/>
    <w:rsid w:val="00BB4CAD"/>
    <w:rsid w:val="00BC2F4B"/>
    <w:rsid w:val="00BC34F6"/>
    <w:rsid w:val="00BD1D32"/>
    <w:rsid w:val="00BF7ECD"/>
    <w:rsid w:val="00BF7F6C"/>
    <w:rsid w:val="00C12B15"/>
    <w:rsid w:val="00C32E6F"/>
    <w:rsid w:val="00C619AC"/>
    <w:rsid w:val="00C62CC5"/>
    <w:rsid w:val="00C654F8"/>
    <w:rsid w:val="00C824C4"/>
    <w:rsid w:val="00C90FC2"/>
    <w:rsid w:val="00C93F8D"/>
    <w:rsid w:val="00CB49EE"/>
    <w:rsid w:val="00CC10BB"/>
    <w:rsid w:val="00CC5AF7"/>
    <w:rsid w:val="00CD0428"/>
    <w:rsid w:val="00CD2AD3"/>
    <w:rsid w:val="00CD3CCC"/>
    <w:rsid w:val="00D04286"/>
    <w:rsid w:val="00D314B2"/>
    <w:rsid w:val="00D62056"/>
    <w:rsid w:val="00D73A0D"/>
    <w:rsid w:val="00D80DC8"/>
    <w:rsid w:val="00D847AB"/>
    <w:rsid w:val="00DB55E2"/>
    <w:rsid w:val="00DC54C6"/>
    <w:rsid w:val="00DD3D0E"/>
    <w:rsid w:val="00DD6039"/>
    <w:rsid w:val="00DD74B3"/>
    <w:rsid w:val="00E54258"/>
    <w:rsid w:val="00E667F6"/>
    <w:rsid w:val="00E76553"/>
    <w:rsid w:val="00EA0B1A"/>
    <w:rsid w:val="00EA10E4"/>
    <w:rsid w:val="00EA6129"/>
    <w:rsid w:val="00EB0BDE"/>
    <w:rsid w:val="00EB62A9"/>
    <w:rsid w:val="00ED449D"/>
    <w:rsid w:val="00EE7C31"/>
    <w:rsid w:val="00F05EC4"/>
    <w:rsid w:val="00F16DFB"/>
    <w:rsid w:val="00F3053D"/>
    <w:rsid w:val="00F37D81"/>
    <w:rsid w:val="00F444F3"/>
    <w:rsid w:val="00F63D31"/>
    <w:rsid w:val="01CCD5D7"/>
    <w:rsid w:val="0255627D"/>
    <w:rsid w:val="05A6496B"/>
    <w:rsid w:val="0AA0FFA7"/>
    <w:rsid w:val="0AFF9D37"/>
    <w:rsid w:val="0BCB1900"/>
    <w:rsid w:val="0D772875"/>
    <w:rsid w:val="11EBC7C0"/>
    <w:rsid w:val="11F180BF"/>
    <w:rsid w:val="12C539E9"/>
    <w:rsid w:val="1480D2FD"/>
    <w:rsid w:val="15143228"/>
    <w:rsid w:val="17E1AF0B"/>
    <w:rsid w:val="1E26CBF0"/>
    <w:rsid w:val="1E5B6D69"/>
    <w:rsid w:val="1F163646"/>
    <w:rsid w:val="1F99A45C"/>
    <w:rsid w:val="2037A524"/>
    <w:rsid w:val="213574BD"/>
    <w:rsid w:val="21C99800"/>
    <w:rsid w:val="21F8EA71"/>
    <w:rsid w:val="2322626C"/>
    <w:rsid w:val="26D470AE"/>
    <w:rsid w:val="27574766"/>
    <w:rsid w:val="2A0D7D03"/>
    <w:rsid w:val="2AD80BD9"/>
    <w:rsid w:val="2BA7E1D1"/>
    <w:rsid w:val="2BD12BA1"/>
    <w:rsid w:val="2BFF1289"/>
    <w:rsid w:val="2C142195"/>
    <w:rsid w:val="2CB4CD21"/>
    <w:rsid w:val="2CF44B76"/>
    <w:rsid w:val="2D43B232"/>
    <w:rsid w:val="2D5CDA8F"/>
    <w:rsid w:val="307B52F4"/>
    <w:rsid w:val="33F0E866"/>
    <w:rsid w:val="393214A3"/>
    <w:rsid w:val="3A4432F0"/>
    <w:rsid w:val="3D61C382"/>
    <w:rsid w:val="3DEDDDA2"/>
    <w:rsid w:val="3EB8802C"/>
    <w:rsid w:val="40A7715C"/>
    <w:rsid w:val="40CFF0AA"/>
    <w:rsid w:val="41B477CE"/>
    <w:rsid w:val="444FB6CE"/>
    <w:rsid w:val="4689D59E"/>
    <w:rsid w:val="4708A5C8"/>
    <w:rsid w:val="4804D4CD"/>
    <w:rsid w:val="4DC9C5F9"/>
    <w:rsid w:val="50193C8A"/>
    <w:rsid w:val="506DF5AB"/>
    <w:rsid w:val="51CB4BBB"/>
    <w:rsid w:val="51DC3C11"/>
    <w:rsid w:val="5315F22E"/>
    <w:rsid w:val="5602D12A"/>
    <w:rsid w:val="568AB6C5"/>
    <w:rsid w:val="56B5D357"/>
    <w:rsid w:val="59BD6CAE"/>
    <w:rsid w:val="5A585617"/>
    <w:rsid w:val="5C24C7DD"/>
    <w:rsid w:val="5CDF6096"/>
    <w:rsid w:val="5F07493D"/>
    <w:rsid w:val="5F1F9D2B"/>
    <w:rsid w:val="5F7996A8"/>
    <w:rsid w:val="5FA8D94A"/>
    <w:rsid w:val="633C16CF"/>
    <w:rsid w:val="653026C0"/>
    <w:rsid w:val="65C95737"/>
    <w:rsid w:val="65FC2C97"/>
    <w:rsid w:val="686FB508"/>
    <w:rsid w:val="68F23508"/>
    <w:rsid w:val="6917BAD7"/>
    <w:rsid w:val="6930535B"/>
    <w:rsid w:val="69BA681B"/>
    <w:rsid w:val="6C21C34A"/>
    <w:rsid w:val="70471352"/>
    <w:rsid w:val="71337859"/>
    <w:rsid w:val="713CC2F9"/>
    <w:rsid w:val="73E2A7B0"/>
    <w:rsid w:val="75C8A590"/>
    <w:rsid w:val="765D8135"/>
    <w:rsid w:val="76CC4D2C"/>
    <w:rsid w:val="777CE4B5"/>
    <w:rsid w:val="77BA4E04"/>
    <w:rsid w:val="78E0F5A0"/>
    <w:rsid w:val="7A9C16B3"/>
    <w:rsid w:val="7DDBA4FB"/>
    <w:rsid w:val="7E32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23A20"/>
  <w15:chartTrackingRefBased/>
  <w15:docId w15:val="{39CEDBF0-257B-47C7-8F01-567AFAD5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F40"/>
    <w:pPr>
      <w:keepNext/>
      <w:keepLines/>
      <w:numPr>
        <w:numId w:val="1"/>
      </w:numPr>
      <w:spacing w:before="240" w:after="0"/>
      <w:outlineLvl w:val="0"/>
    </w:pPr>
    <w:rPr>
      <w:rFonts w:asciiTheme="majorHAnsi" w:eastAsiaTheme="majorEastAsia" w:hAnsiTheme="majorHAnsi" w:cstheme="majorBidi"/>
      <w:b/>
      <w:color w:val="2F5496" w:themeColor="accent1" w:themeShade="BF"/>
      <w:kern w:val="0"/>
      <w:sz w:val="28"/>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7B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B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1F40"/>
    <w:rPr>
      <w:rFonts w:asciiTheme="majorHAnsi" w:eastAsiaTheme="majorEastAsia" w:hAnsiTheme="majorHAnsi" w:cstheme="majorBidi"/>
      <w:b/>
      <w:color w:val="2F5496" w:themeColor="accent1" w:themeShade="BF"/>
      <w:kern w:val="0"/>
      <w:sz w:val="28"/>
      <w:szCs w:val="32"/>
      <w14:ligatures w14:val="none"/>
    </w:rPr>
  </w:style>
  <w:style w:type="paragraph" w:styleId="Header">
    <w:name w:val="header"/>
    <w:basedOn w:val="Normal"/>
    <w:link w:val="HeaderChar"/>
    <w:uiPriority w:val="99"/>
    <w:unhideWhenUsed/>
    <w:rsid w:val="00A7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51"/>
  </w:style>
  <w:style w:type="paragraph" w:styleId="Footer">
    <w:name w:val="footer"/>
    <w:basedOn w:val="Normal"/>
    <w:link w:val="FooterChar"/>
    <w:uiPriority w:val="99"/>
    <w:unhideWhenUsed/>
    <w:rsid w:val="00A7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51"/>
  </w:style>
  <w:style w:type="paragraph" w:styleId="ListParagraph">
    <w:name w:val="List Paragraph"/>
    <w:basedOn w:val="Normal"/>
    <w:uiPriority w:val="34"/>
    <w:qFormat/>
    <w:rsid w:val="00CD0428"/>
    <w:pPr>
      <w:ind w:left="720"/>
      <w:contextualSpacing/>
    </w:pPr>
  </w:style>
  <w:style w:type="paragraph" w:styleId="FootnoteText">
    <w:name w:val="footnote text"/>
    <w:basedOn w:val="Normal"/>
    <w:link w:val="FootnoteTextChar"/>
    <w:uiPriority w:val="99"/>
    <w:semiHidden/>
    <w:unhideWhenUsed/>
    <w:rsid w:val="00B96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463"/>
    <w:rPr>
      <w:sz w:val="20"/>
      <w:szCs w:val="20"/>
    </w:rPr>
  </w:style>
  <w:style w:type="character" w:styleId="FootnoteReference">
    <w:name w:val="footnote reference"/>
    <w:basedOn w:val="DefaultParagraphFont"/>
    <w:uiPriority w:val="99"/>
    <w:semiHidden/>
    <w:unhideWhenUsed/>
    <w:rsid w:val="00B96463"/>
    <w:rPr>
      <w:vertAlign w:val="superscript"/>
    </w:rPr>
  </w:style>
  <w:style w:type="character" w:styleId="Hyperlink">
    <w:name w:val="Hyperlink"/>
    <w:basedOn w:val="DefaultParagraphFont"/>
    <w:uiPriority w:val="99"/>
    <w:unhideWhenUsed/>
    <w:rsid w:val="00B96463"/>
    <w:rPr>
      <w:color w:val="0563C1" w:themeColor="hyperlink"/>
      <w:u w:val="single"/>
    </w:rPr>
  </w:style>
  <w:style w:type="character" w:styleId="UnresolvedMention">
    <w:name w:val="Unresolved Mention"/>
    <w:basedOn w:val="DefaultParagraphFont"/>
    <w:uiPriority w:val="99"/>
    <w:semiHidden/>
    <w:unhideWhenUsed/>
    <w:rsid w:val="00B96463"/>
    <w:rPr>
      <w:color w:val="605E5C"/>
      <w:shd w:val="clear" w:color="auto" w:fill="E1DFDD"/>
    </w:rPr>
  </w:style>
  <w:style w:type="paragraph" w:styleId="IntenseQuote">
    <w:name w:val="Intense Quote"/>
    <w:basedOn w:val="Normal"/>
    <w:next w:val="Normal"/>
    <w:link w:val="IntenseQuoteChar"/>
    <w:uiPriority w:val="30"/>
    <w:qFormat/>
    <w:rsid w:val="007929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2952"/>
    <w:rPr>
      <w:i/>
      <w:iCs/>
      <w:color w:val="4472C4" w:themeColor="accent1"/>
    </w:rPr>
  </w:style>
  <w:style w:type="character" w:styleId="FollowedHyperlink">
    <w:name w:val="FollowedHyperlink"/>
    <w:basedOn w:val="DefaultParagraphFont"/>
    <w:uiPriority w:val="99"/>
    <w:semiHidden/>
    <w:unhideWhenUsed/>
    <w:rsid w:val="0051533D"/>
    <w:rPr>
      <w:color w:val="954F72" w:themeColor="followedHyperlink"/>
      <w:u w:val="single"/>
    </w:rPr>
  </w:style>
  <w:style w:type="paragraph" w:styleId="Revision">
    <w:name w:val="Revision"/>
    <w:hidden/>
    <w:uiPriority w:val="99"/>
    <w:semiHidden/>
    <w:rsid w:val="003F0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mailto:oficev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lindunio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bu.ng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orldblindunion.org/covid-19-amplifying-voices-our-lives-our-sa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cevi.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education/emergencies" TargetMode="External"/><Relationship Id="rId7" Type="http://schemas.openxmlformats.org/officeDocument/2006/relationships/hyperlink" Target="https://www.conflictandhealth.biomedcentral.com/article/10.1186/s13031-022-00486-6" TargetMode="External"/><Relationship Id="rId2" Type="http://schemas.openxmlformats.org/officeDocument/2006/relationships/hyperlink" Target="file:///C:\Users\ONE%20HOPE%20MALAWI\Desktop\A\WBU\Statements\August%202023%20Statements\Position%20paper_Education%20during%20emergencies\https\www.inee.org\education-in-emergencies" TargetMode="External"/><Relationship Id="rId1" Type="http://schemas.openxmlformats.org/officeDocument/2006/relationships/hyperlink" Target="https://www.ohchr.org/en/documents/general-comments-and-recommendations/general-comment-no-4-article-24-right-inclusive" TargetMode="External"/><Relationship Id="rId6" Type="http://schemas.openxmlformats.org/officeDocument/2006/relationships/hyperlink" Target="https://www.data.unicef.org/topic/child-migration-and-displacement/displacement/" TargetMode="External"/><Relationship Id="rId5" Type="http://schemas.openxmlformats.org/officeDocument/2006/relationships/hyperlink" Target="https://www.womenrefugeecommission.org/focus-areas-gender-social-inclusion/disability-inclusion" TargetMode="External"/><Relationship Id="rId4" Type="http://schemas.openxmlformats.org/officeDocument/2006/relationships/hyperlink" Target="https://www.unhcr.org/612f85d64/unhcr-education-report-2021-staying-course-challenges-facing-refuge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22B8-E0DD-436F-831D-167BB9F3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2880</Words>
  <Characters>16418</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CHIKASAMBA</dc:creator>
  <cp:keywords/>
  <dc:description/>
  <cp:lastModifiedBy>Marc Workman</cp:lastModifiedBy>
  <cp:revision>12</cp:revision>
  <dcterms:created xsi:type="dcterms:W3CDTF">2024-01-23T13:58:00Z</dcterms:created>
  <dcterms:modified xsi:type="dcterms:W3CDTF">2024-01-24T04:41:00Z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db0ca92b212a2dd8eb63910915c50305336a5176709b8b97afa9caef6249c136</vt:lpwstr>
  </property>
</Properties>
</file>